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7DD" w:rsidP="00853E01" w:rsidRDefault="000E1463" w14:paraId="6A0B2784" w14:textId="0AB49BE0">
      <w:pPr>
        <w:rPr>
          <w:rFonts w:cs="Times New Roman"/>
          <w:szCs w:val="24"/>
        </w:rPr>
      </w:pPr>
      <w:r w:rsidRPr="000E1463">
        <w:t xml:space="preserve"> </w:t>
      </w:r>
    </w:p>
    <w:p w:rsidR="00D237DD" w:rsidP="00853E01" w:rsidRDefault="00D237DD" w14:paraId="65F9B399" w14:textId="77777777">
      <w:pPr>
        <w:rPr>
          <w:rFonts w:cs="Times New Roman"/>
          <w:szCs w:val="24"/>
        </w:rPr>
      </w:pPr>
    </w:p>
    <w:p w:rsidRPr="00631225" w:rsidR="00853E01" w:rsidP="00853E01" w:rsidRDefault="00853E01" w14:paraId="0179DEAA" w14:textId="48F7D02A">
      <w:pPr>
        <w:rPr>
          <w:rFonts w:cs="Times New Roman"/>
          <w:szCs w:val="24"/>
        </w:rPr>
      </w:pPr>
      <w:r w:rsidRPr="00631225">
        <w:rPr>
          <w:rFonts w:cs="Times New Roman"/>
          <w:szCs w:val="24"/>
        </w:rPr>
        <w:t>BLM Colorado State Office</w:t>
      </w:r>
    </w:p>
    <w:p w:rsidRPr="00631225" w:rsidR="00853E01" w:rsidP="00853E01" w:rsidRDefault="00853E01" w14:paraId="3B5FDA94" w14:textId="77777777">
      <w:pPr>
        <w:rPr>
          <w:rFonts w:cs="Times New Roman"/>
          <w:szCs w:val="24"/>
        </w:rPr>
      </w:pPr>
      <w:r w:rsidRPr="00631225">
        <w:rPr>
          <w:rFonts w:cs="Times New Roman"/>
          <w:szCs w:val="24"/>
        </w:rPr>
        <w:t xml:space="preserve">ATTN: </w:t>
      </w:r>
      <w:bookmarkStart w:name="_Hlk112947705" w:id="0"/>
      <w:r w:rsidRPr="00631225">
        <w:rPr>
          <w:rFonts w:cs="Times New Roman"/>
          <w:szCs w:val="24"/>
        </w:rPr>
        <w:t>Big Game Corridor Amendment/EIS</w:t>
      </w:r>
      <w:bookmarkEnd w:id="0"/>
    </w:p>
    <w:p w:rsidR="00E82998" w:rsidP="00853E01" w:rsidRDefault="00853E01" w14:paraId="3BFE715E" w14:textId="77777777">
      <w:pPr>
        <w:rPr>
          <w:rFonts w:cs="Times New Roman"/>
          <w:szCs w:val="24"/>
        </w:rPr>
      </w:pPr>
      <w:r w:rsidRPr="00631225">
        <w:rPr>
          <w:rFonts w:cs="Times New Roman"/>
          <w:szCs w:val="24"/>
        </w:rPr>
        <w:t xml:space="preserve">2850 Youngfield St., </w:t>
      </w:r>
    </w:p>
    <w:p w:rsidRPr="00631225" w:rsidR="00853E01" w:rsidP="00853E01" w:rsidRDefault="00853E01" w14:paraId="675129CB" w14:textId="4FD1BAF7">
      <w:pPr>
        <w:rPr>
          <w:rFonts w:cs="Times New Roman"/>
          <w:szCs w:val="24"/>
        </w:rPr>
      </w:pPr>
      <w:r w:rsidRPr="00631225">
        <w:rPr>
          <w:rFonts w:cs="Times New Roman"/>
          <w:szCs w:val="24"/>
        </w:rPr>
        <w:t>Lakewood, CO 80215</w:t>
      </w:r>
    </w:p>
    <w:p w:rsidRPr="00631225" w:rsidR="000E1463" w:rsidP="000E1463" w:rsidRDefault="000E1463" w14:paraId="0F058384" w14:textId="1349FB61">
      <w:pPr>
        <w:spacing w:line="480" w:lineRule="auto"/>
        <w:rPr>
          <w:rFonts w:cs="Times New Roman"/>
          <w:szCs w:val="24"/>
        </w:rPr>
      </w:pPr>
    </w:p>
    <w:p w:rsidRPr="00631225" w:rsidR="00601BD0" w:rsidP="0071442D" w:rsidRDefault="00601BD0" w14:paraId="0B75BBDC" w14:textId="65CCFE51">
      <w:pPr>
        <w:spacing w:line="480" w:lineRule="auto"/>
        <w:ind w:firstLine="360"/>
        <w:rPr>
          <w:rFonts w:cs="Times New Roman"/>
          <w:szCs w:val="24"/>
        </w:rPr>
      </w:pPr>
      <w:r w:rsidRPr="00631225">
        <w:rPr>
          <w:rFonts w:cs="Times New Roman"/>
          <w:szCs w:val="24"/>
        </w:rPr>
        <w:t xml:space="preserve">The Colorado Oil </w:t>
      </w:r>
      <w:r w:rsidRPr="00631225" w:rsidR="000E4B6C">
        <w:rPr>
          <w:rFonts w:cs="Times New Roman"/>
          <w:szCs w:val="24"/>
        </w:rPr>
        <w:t xml:space="preserve">&amp; </w:t>
      </w:r>
      <w:r w:rsidRPr="00631225">
        <w:rPr>
          <w:rFonts w:cs="Times New Roman"/>
          <w:szCs w:val="24"/>
        </w:rPr>
        <w:t>Gas Association, American Petroleum Institute</w:t>
      </w:r>
      <w:r w:rsidRPr="00631225" w:rsidR="000E4B6C">
        <w:rPr>
          <w:rFonts w:cs="Times New Roman"/>
          <w:szCs w:val="24"/>
        </w:rPr>
        <w:t>-Colorado</w:t>
      </w:r>
      <w:r w:rsidRPr="00631225">
        <w:rPr>
          <w:rFonts w:cs="Times New Roman"/>
          <w:szCs w:val="24"/>
        </w:rPr>
        <w:t xml:space="preserve">, West Slope Colorado Oil </w:t>
      </w:r>
      <w:r w:rsidRPr="00631225" w:rsidR="000E4B6C">
        <w:rPr>
          <w:rFonts w:cs="Times New Roman"/>
          <w:szCs w:val="24"/>
        </w:rPr>
        <w:t xml:space="preserve">&amp; </w:t>
      </w:r>
      <w:r w:rsidRPr="00631225">
        <w:rPr>
          <w:rFonts w:cs="Times New Roman"/>
          <w:szCs w:val="24"/>
        </w:rPr>
        <w:t>Gas Association</w:t>
      </w:r>
      <w:r w:rsidRPr="00631225" w:rsidR="005871AC">
        <w:rPr>
          <w:rFonts w:cs="Times New Roman"/>
          <w:szCs w:val="24"/>
        </w:rPr>
        <w:t>, Western Energy Alliance, and The Energy Council</w:t>
      </w:r>
      <w:r w:rsidR="00E82998">
        <w:rPr>
          <w:rFonts w:cs="Times New Roman"/>
          <w:szCs w:val="24"/>
        </w:rPr>
        <w:t xml:space="preserve"> </w:t>
      </w:r>
      <w:r w:rsidRPr="00631225">
        <w:rPr>
          <w:rFonts w:cs="Times New Roman"/>
          <w:szCs w:val="24"/>
        </w:rPr>
        <w:t xml:space="preserve">(collectively, </w:t>
      </w:r>
      <w:r w:rsidR="002C4F02">
        <w:rPr>
          <w:rFonts w:cs="Times New Roman"/>
          <w:szCs w:val="24"/>
        </w:rPr>
        <w:t xml:space="preserve">the </w:t>
      </w:r>
      <w:r w:rsidRPr="00631225" w:rsidR="00531C08">
        <w:rPr>
          <w:rFonts w:cs="Times New Roman"/>
          <w:szCs w:val="24"/>
        </w:rPr>
        <w:t>“</w:t>
      </w:r>
      <w:r w:rsidR="002C4F02">
        <w:rPr>
          <w:rFonts w:cs="Times New Roman"/>
          <w:szCs w:val="24"/>
        </w:rPr>
        <w:t>Associations</w:t>
      </w:r>
      <w:r w:rsidRPr="00631225" w:rsidR="00531C08">
        <w:rPr>
          <w:rFonts w:cs="Times New Roman"/>
          <w:szCs w:val="24"/>
        </w:rPr>
        <w:t>”</w:t>
      </w:r>
      <w:r w:rsidRPr="00631225">
        <w:rPr>
          <w:rFonts w:cs="Times New Roman"/>
          <w:szCs w:val="24"/>
        </w:rPr>
        <w:t>) appreciate the opportunity to offer scoping comments on the Bureau of Land Management’s (</w:t>
      </w:r>
      <w:r w:rsidRPr="00631225" w:rsidR="006C5B19">
        <w:rPr>
          <w:rFonts w:cs="Times New Roman"/>
          <w:szCs w:val="24"/>
        </w:rPr>
        <w:t>“</w:t>
      </w:r>
      <w:r w:rsidRPr="00631225">
        <w:rPr>
          <w:rFonts w:cs="Times New Roman"/>
          <w:szCs w:val="24"/>
        </w:rPr>
        <w:t>BLM</w:t>
      </w:r>
      <w:r w:rsidRPr="00631225" w:rsidR="006C5B19">
        <w:rPr>
          <w:rFonts w:cs="Times New Roman"/>
          <w:szCs w:val="24"/>
        </w:rPr>
        <w:t>”</w:t>
      </w:r>
      <w:r w:rsidRPr="00631225">
        <w:rPr>
          <w:rFonts w:cs="Times New Roman"/>
          <w:szCs w:val="24"/>
        </w:rPr>
        <w:t>) Big Game Habitat Movement Route and Corridor Resource Plan Amendment and associated Environmental Impact Statement (</w:t>
      </w:r>
      <w:r w:rsidRPr="00631225" w:rsidR="006C5B19">
        <w:rPr>
          <w:rFonts w:cs="Times New Roman"/>
          <w:szCs w:val="24"/>
        </w:rPr>
        <w:t>“</w:t>
      </w:r>
      <w:r w:rsidRPr="00631225">
        <w:rPr>
          <w:rFonts w:cs="Times New Roman"/>
          <w:szCs w:val="24"/>
        </w:rPr>
        <w:t>EIS</w:t>
      </w:r>
      <w:r w:rsidRPr="00631225" w:rsidR="006C5B19">
        <w:rPr>
          <w:rFonts w:cs="Times New Roman"/>
          <w:szCs w:val="24"/>
        </w:rPr>
        <w:t>”)</w:t>
      </w:r>
      <w:r w:rsidRPr="00631225" w:rsidR="000E4B6C">
        <w:rPr>
          <w:rFonts w:cs="Times New Roman"/>
          <w:szCs w:val="24"/>
        </w:rPr>
        <w:t>, Project DOI-BLM-CO-0000-2022-0003-RMP-EIS</w:t>
      </w:r>
      <w:r w:rsidRPr="00631225" w:rsidR="006C5B19">
        <w:rPr>
          <w:rFonts w:cs="Times New Roman"/>
          <w:szCs w:val="24"/>
        </w:rPr>
        <w:t xml:space="preserve">.  </w:t>
      </w:r>
      <w:r w:rsidR="002C4F02">
        <w:rPr>
          <w:rFonts w:cs="Times New Roman"/>
          <w:szCs w:val="24"/>
        </w:rPr>
        <w:t>The Associations</w:t>
      </w:r>
      <w:r w:rsidRPr="00631225" w:rsidR="006C5B19">
        <w:rPr>
          <w:rFonts w:cs="Times New Roman"/>
          <w:szCs w:val="24"/>
        </w:rPr>
        <w:t xml:space="preserve"> look </w:t>
      </w:r>
      <w:r w:rsidRPr="00631225">
        <w:rPr>
          <w:rFonts w:cs="Times New Roman"/>
          <w:szCs w:val="24"/>
        </w:rPr>
        <w:t xml:space="preserve">forward to </w:t>
      </w:r>
      <w:r w:rsidRPr="00631225" w:rsidR="006C5B19">
        <w:rPr>
          <w:rFonts w:cs="Times New Roman"/>
          <w:szCs w:val="24"/>
        </w:rPr>
        <w:t xml:space="preserve">continuing to provide comments to BLM as this process </w:t>
      </w:r>
      <w:r w:rsidRPr="00631225" w:rsidR="000E4B6C">
        <w:rPr>
          <w:rFonts w:cs="Times New Roman"/>
          <w:szCs w:val="24"/>
        </w:rPr>
        <w:t>advances</w:t>
      </w:r>
      <w:r w:rsidRPr="00631225" w:rsidR="006C5B19">
        <w:rPr>
          <w:rFonts w:cs="Times New Roman"/>
          <w:szCs w:val="24"/>
        </w:rPr>
        <w:t xml:space="preserve">.  </w:t>
      </w:r>
      <w:r w:rsidRPr="00631225">
        <w:rPr>
          <w:rFonts w:cs="Times New Roman"/>
          <w:szCs w:val="24"/>
        </w:rPr>
        <w:t xml:space="preserve">We ask BLM to consider and address the following scoping comments: </w:t>
      </w:r>
    </w:p>
    <w:p w:rsidRPr="00631225" w:rsidR="00A9513D" w:rsidP="00A9513D" w:rsidRDefault="002C4F02" w14:paraId="3EB4A21E" w14:textId="4FF9ECE2">
      <w:pPr>
        <w:pStyle w:val="ListParagraph"/>
        <w:numPr>
          <w:ilvl w:val="0"/>
          <w:numId w:val="19"/>
        </w:numPr>
        <w:rPr>
          <w:rFonts w:cs="Times New Roman"/>
          <w:b/>
          <w:bCs/>
          <w:szCs w:val="24"/>
        </w:rPr>
      </w:pPr>
      <w:r>
        <w:rPr>
          <w:rFonts w:cs="Times New Roman"/>
          <w:b/>
          <w:bCs/>
          <w:szCs w:val="24"/>
        </w:rPr>
        <w:t xml:space="preserve">The Associations </w:t>
      </w:r>
      <w:r w:rsidRPr="00631225" w:rsidR="00A9513D">
        <w:rPr>
          <w:rFonts w:cs="Times New Roman"/>
          <w:b/>
          <w:bCs/>
          <w:szCs w:val="24"/>
        </w:rPr>
        <w:t xml:space="preserve">Encourage </w:t>
      </w:r>
      <w:r w:rsidRPr="00631225" w:rsidR="000E4B6C">
        <w:rPr>
          <w:rFonts w:cs="Times New Roman"/>
          <w:b/>
          <w:bCs/>
          <w:szCs w:val="24"/>
        </w:rPr>
        <w:t>BLM</w:t>
      </w:r>
      <w:r w:rsidRPr="00631225" w:rsidR="00A9513D">
        <w:rPr>
          <w:rFonts w:cs="Times New Roman"/>
          <w:b/>
          <w:bCs/>
          <w:szCs w:val="24"/>
        </w:rPr>
        <w:t xml:space="preserve"> to </w:t>
      </w:r>
      <w:r w:rsidRPr="00631225" w:rsidR="00616B2C">
        <w:rPr>
          <w:rFonts w:cs="Times New Roman"/>
          <w:b/>
          <w:bCs/>
          <w:szCs w:val="24"/>
        </w:rPr>
        <w:t xml:space="preserve">Adopt </w:t>
      </w:r>
      <w:r w:rsidRPr="00631225" w:rsidR="00A9513D">
        <w:rPr>
          <w:rFonts w:cs="Times New Roman"/>
          <w:b/>
          <w:bCs/>
          <w:szCs w:val="24"/>
        </w:rPr>
        <w:t>CPW</w:t>
      </w:r>
      <w:r w:rsidRPr="00631225" w:rsidR="00616B2C">
        <w:rPr>
          <w:rFonts w:cs="Times New Roman"/>
          <w:b/>
          <w:bCs/>
          <w:szCs w:val="24"/>
        </w:rPr>
        <w:t>’s</w:t>
      </w:r>
      <w:r w:rsidRPr="00631225" w:rsidR="00A9513D">
        <w:rPr>
          <w:rFonts w:cs="Times New Roman"/>
          <w:b/>
          <w:bCs/>
          <w:szCs w:val="24"/>
        </w:rPr>
        <w:t xml:space="preserve"> and COGCC</w:t>
      </w:r>
      <w:r w:rsidRPr="00631225" w:rsidR="00616B2C">
        <w:rPr>
          <w:rFonts w:cs="Times New Roman"/>
          <w:b/>
          <w:bCs/>
          <w:szCs w:val="24"/>
        </w:rPr>
        <w:t>’s</w:t>
      </w:r>
      <w:r w:rsidRPr="00631225" w:rsidR="00A9513D">
        <w:rPr>
          <w:rFonts w:cs="Times New Roman"/>
          <w:b/>
          <w:bCs/>
          <w:szCs w:val="24"/>
        </w:rPr>
        <w:t xml:space="preserve"> </w:t>
      </w:r>
      <w:r w:rsidRPr="00631225" w:rsidR="00616B2C">
        <w:rPr>
          <w:rFonts w:cs="Times New Roman"/>
          <w:b/>
          <w:bCs/>
          <w:szCs w:val="24"/>
        </w:rPr>
        <w:t>Approach to Big Game High Priority Habitat</w:t>
      </w:r>
      <w:r w:rsidRPr="00631225" w:rsidR="00AF46D4">
        <w:rPr>
          <w:rFonts w:cs="Times New Roman"/>
          <w:b/>
          <w:bCs/>
          <w:szCs w:val="24"/>
        </w:rPr>
        <w:t>.</w:t>
      </w:r>
    </w:p>
    <w:p w:rsidRPr="00631225" w:rsidR="00616B2C" w:rsidP="00616B2C" w:rsidRDefault="00616B2C" w14:paraId="32BC1F68" w14:textId="77777777">
      <w:pPr>
        <w:rPr>
          <w:rFonts w:cs="Times New Roman"/>
          <w:szCs w:val="24"/>
        </w:rPr>
      </w:pPr>
    </w:p>
    <w:p w:rsidRPr="00631225" w:rsidR="00616B2C" w:rsidP="00616B2C" w:rsidRDefault="00616B2C" w14:paraId="760DAFB2" w14:textId="4A292514">
      <w:pPr>
        <w:spacing w:line="480" w:lineRule="auto"/>
        <w:rPr>
          <w:rFonts w:cs="Times New Roman"/>
          <w:szCs w:val="24"/>
        </w:rPr>
      </w:pPr>
      <w:r w:rsidRPr="00631225">
        <w:rPr>
          <w:rFonts w:cs="Times New Roman"/>
          <w:szCs w:val="24"/>
        </w:rPr>
        <w:tab/>
        <w:t xml:space="preserve">The </w:t>
      </w:r>
      <w:r w:rsidRPr="00631225" w:rsidR="00531C08">
        <w:rPr>
          <w:rFonts w:cs="Times New Roman"/>
          <w:szCs w:val="24"/>
        </w:rPr>
        <w:t xml:space="preserve">Notice </w:t>
      </w:r>
      <w:r w:rsidRPr="00631225" w:rsidR="009C6792">
        <w:rPr>
          <w:rFonts w:cs="Times New Roman"/>
          <w:szCs w:val="24"/>
        </w:rPr>
        <w:t>o</w:t>
      </w:r>
      <w:r w:rsidRPr="00631225" w:rsidR="00531C08">
        <w:rPr>
          <w:rFonts w:cs="Times New Roman"/>
          <w:szCs w:val="24"/>
        </w:rPr>
        <w:t xml:space="preserve">f Intent to Amend Colorado Resource Management Plans Regarding Big Game Conservation and </w:t>
      </w:r>
      <w:r w:rsidRPr="00631225" w:rsidR="00531C08">
        <w:rPr>
          <w:rFonts w:cs="Times New Roman"/>
          <w:szCs w:val="24"/>
        </w:rPr>
        <w:t>P</w:t>
      </w:r>
      <w:r w:rsidRPr="00631225" w:rsidR="00531C08">
        <w:rPr>
          <w:rFonts w:cs="Times New Roman"/>
          <w:szCs w:val="24"/>
        </w:rPr>
        <w:t xml:space="preserve">repare an Associated Environmental Impact Statement (“Notice of Intent”) </w:t>
      </w:r>
      <w:r w:rsidRPr="00631225">
        <w:rPr>
          <w:rFonts w:cs="Times New Roman"/>
          <w:szCs w:val="24"/>
        </w:rPr>
        <w:t xml:space="preserve">for this amendment process states, “BLM will consider at least one alternative that would adopt State agency recommendations to avoid and minimize impacts from oil and gas leasing and development to big game high priority habitat.”  </w:t>
      </w:r>
      <w:r w:rsidRPr="002C4F02" w:rsidR="002C4F02">
        <w:rPr>
          <w:rFonts w:cs="Times New Roman"/>
          <w:szCs w:val="24"/>
        </w:rPr>
        <w:t>The Associations</w:t>
      </w:r>
      <w:r w:rsidR="002C4F02">
        <w:rPr>
          <w:rFonts w:cs="Times New Roman"/>
          <w:b/>
          <w:bCs/>
          <w:szCs w:val="24"/>
        </w:rPr>
        <w:t xml:space="preserve"> </w:t>
      </w:r>
      <w:r w:rsidRPr="00631225">
        <w:rPr>
          <w:rFonts w:cs="Times New Roman"/>
          <w:szCs w:val="24"/>
        </w:rPr>
        <w:t xml:space="preserve">support this alternative and believe that BLM should follow </w:t>
      </w:r>
      <w:r w:rsidRPr="00631225" w:rsidR="000E4B6C">
        <w:rPr>
          <w:rFonts w:cs="Times New Roman"/>
          <w:szCs w:val="24"/>
        </w:rPr>
        <w:t>Colorado Parks &amp; Wildlife’s (</w:t>
      </w:r>
      <w:r w:rsidRPr="00631225">
        <w:rPr>
          <w:rFonts w:cs="Times New Roman"/>
          <w:szCs w:val="24"/>
        </w:rPr>
        <w:t>CPW</w:t>
      </w:r>
      <w:r w:rsidRPr="00631225" w:rsidR="000E4B6C">
        <w:rPr>
          <w:rFonts w:cs="Times New Roman"/>
          <w:szCs w:val="24"/>
        </w:rPr>
        <w:t>)</w:t>
      </w:r>
      <w:r w:rsidRPr="00631225">
        <w:rPr>
          <w:rFonts w:cs="Times New Roman"/>
          <w:szCs w:val="24"/>
        </w:rPr>
        <w:t xml:space="preserve"> and </w:t>
      </w:r>
      <w:r w:rsidRPr="00631225" w:rsidR="000E4B6C">
        <w:rPr>
          <w:rFonts w:cs="Times New Roman"/>
          <w:szCs w:val="24"/>
        </w:rPr>
        <w:t>the Colorado Oil and Gas Conservation Commission’s (</w:t>
      </w:r>
      <w:r w:rsidRPr="00631225">
        <w:rPr>
          <w:rFonts w:cs="Times New Roman"/>
          <w:szCs w:val="24"/>
        </w:rPr>
        <w:t>COGCC</w:t>
      </w:r>
      <w:r w:rsidRPr="00631225" w:rsidR="000E4B6C">
        <w:rPr>
          <w:rFonts w:cs="Times New Roman"/>
          <w:szCs w:val="24"/>
        </w:rPr>
        <w:t>)</w:t>
      </w:r>
      <w:r w:rsidRPr="00631225">
        <w:rPr>
          <w:rFonts w:cs="Times New Roman"/>
          <w:szCs w:val="24"/>
        </w:rPr>
        <w:t xml:space="preserve"> approach</w:t>
      </w:r>
      <w:r w:rsidRPr="00631225" w:rsidR="001D77C8">
        <w:rPr>
          <w:rFonts w:cs="Times New Roman"/>
          <w:szCs w:val="24"/>
        </w:rPr>
        <w:t>es</w:t>
      </w:r>
      <w:r w:rsidRPr="00631225">
        <w:rPr>
          <w:rFonts w:cs="Times New Roman"/>
          <w:szCs w:val="24"/>
        </w:rPr>
        <w:t xml:space="preserve"> to big game high priority habitat</w:t>
      </w:r>
      <w:r w:rsidRPr="00631225" w:rsidR="005C6401">
        <w:rPr>
          <w:rFonts w:cs="Times New Roman"/>
          <w:szCs w:val="24"/>
        </w:rPr>
        <w:t xml:space="preserve"> for </w:t>
      </w:r>
      <w:r w:rsidRPr="00631225" w:rsidR="00804567">
        <w:rPr>
          <w:rFonts w:cs="Times New Roman"/>
          <w:szCs w:val="24"/>
        </w:rPr>
        <w:t>several</w:t>
      </w:r>
      <w:r w:rsidRPr="00631225" w:rsidR="00C11C8A">
        <w:rPr>
          <w:rFonts w:cs="Times New Roman"/>
          <w:szCs w:val="24"/>
        </w:rPr>
        <w:t xml:space="preserve"> reasons.</w:t>
      </w:r>
    </w:p>
    <w:p w:rsidRPr="00631225" w:rsidR="0008749E" w:rsidP="0008749E" w:rsidRDefault="0008749E" w14:paraId="061A347B" w14:textId="48F122C0">
      <w:pPr>
        <w:spacing w:line="480" w:lineRule="auto"/>
        <w:ind w:firstLine="720"/>
        <w:rPr>
          <w:rFonts w:cs="Times New Roman"/>
          <w:szCs w:val="24"/>
        </w:rPr>
      </w:pPr>
      <w:r w:rsidRPr="00631225">
        <w:rPr>
          <w:rFonts w:cs="Times New Roman"/>
          <w:szCs w:val="24"/>
        </w:rPr>
        <w:t>The</w:t>
      </w:r>
      <w:r w:rsidRPr="00631225" w:rsidR="00C50744">
        <w:rPr>
          <w:rFonts w:cs="Times New Roman"/>
          <w:szCs w:val="24"/>
        </w:rPr>
        <w:t xml:space="preserve"> federal government has </w:t>
      </w:r>
      <w:r w:rsidRPr="00631225">
        <w:rPr>
          <w:rFonts w:cs="Times New Roman"/>
          <w:szCs w:val="24"/>
        </w:rPr>
        <w:t xml:space="preserve">traditionally </w:t>
      </w:r>
      <w:r w:rsidRPr="00631225" w:rsidR="00C50744">
        <w:rPr>
          <w:rFonts w:cs="Times New Roman"/>
          <w:szCs w:val="24"/>
        </w:rPr>
        <w:t xml:space="preserve">deferred to state </w:t>
      </w:r>
      <w:r w:rsidRPr="00631225">
        <w:rPr>
          <w:rFonts w:cs="Times New Roman"/>
          <w:szCs w:val="24"/>
        </w:rPr>
        <w:t xml:space="preserve">regulation of </w:t>
      </w:r>
      <w:r w:rsidRPr="00631225" w:rsidR="00C50744">
        <w:rPr>
          <w:rFonts w:cs="Times New Roman"/>
          <w:szCs w:val="24"/>
        </w:rPr>
        <w:t xml:space="preserve">wildlife unless </w:t>
      </w:r>
      <w:r w:rsidRPr="00631225">
        <w:rPr>
          <w:rFonts w:cs="Times New Roman"/>
          <w:szCs w:val="24"/>
        </w:rPr>
        <w:t xml:space="preserve">the </w:t>
      </w:r>
      <w:r w:rsidRPr="00631225" w:rsidR="00C50744">
        <w:rPr>
          <w:rFonts w:cs="Times New Roman"/>
          <w:szCs w:val="24"/>
        </w:rPr>
        <w:t>state fails</w:t>
      </w:r>
      <w:r w:rsidRPr="00631225">
        <w:rPr>
          <w:rFonts w:cs="Times New Roman"/>
          <w:szCs w:val="24"/>
        </w:rPr>
        <w:t xml:space="preserve"> to provide adequate protection</w:t>
      </w:r>
      <w:r w:rsidRPr="00631225" w:rsidR="00C50744">
        <w:rPr>
          <w:rFonts w:cs="Times New Roman"/>
          <w:szCs w:val="24"/>
        </w:rPr>
        <w:t xml:space="preserve">, in which case </w:t>
      </w:r>
      <w:r w:rsidRPr="00631225">
        <w:rPr>
          <w:rFonts w:cs="Times New Roman"/>
          <w:szCs w:val="24"/>
        </w:rPr>
        <w:t xml:space="preserve">the </w:t>
      </w:r>
      <w:r w:rsidRPr="00631225" w:rsidR="00C50744">
        <w:rPr>
          <w:rFonts w:cs="Times New Roman"/>
          <w:szCs w:val="24"/>
        </w:rPr>
        <w:t xml:space="preserve">federal government </w:t>
      </w:r>
      <w:r w:rsidRPr="00631225">
        <w:rPr>
          <w:rFonts w:cs="Times New Roman"/>
          <w:szCs w:val="24"/>
        </w:rPr>
        <w:t xml:space="preserve">can </w:t>
      </w:r>
      <w:r w:rsidRPr="00631225" w:rsidR="00C50744">
        <w:rPr>
          <w:rFonts w:cs="Times New Roman"/>
          <w:szCs w:val="24"/>
        </w:rPr>
        <w:t xml:space="preserve">list species under </w:t>
      </w:r>
      <w:r w:rsidRPr="00631225">
        <w:rPr>
          <w:rFonts w:cs="Times New Roman"/>
          <w:szCs w:val="24"/>
        </w:rPr>
        <w:t xml:space="preserve">the </w:t>
      </w:r>
      <w:r w:rsidRPr="00631225" w:rsidR="00C50744">
        <w:rPr>
          <w:rFonts w:cs="Times New Roman"/>
          <w:szCs w:val="24"/>
        </w:rPr>
        <w:t>Endangered Species Act.</w:t>
      </w:r>
      <w:r w:rsidR="00FF0838">
        <w:rPr>
          <w:rFonts w:cs="Times New Roman"/>
          <w:szCs w:val="24"/>
        </w:rPr>
        <w:t xml:space="preserve">  </w:t>
      </w:r>
      <w:r w:rsidRPr="00631225">
        <w:rPr>
          <w:rFonts w:cs="Times New Roman"/>
          <w:szCs w:val="24"/>
        </w:rPr>
        <w:t>This deference is reflected in Secretarial Order 3362</w:t>
      </w:r>
      <w:r w:rsidRPr="00631225" w:rsidR="00A51AE8">
        <w:rPr>
          <w:rFonts w:cs="Times New Roman"/>
          <w:szCs w:val="24"/>
        </w:rPr>
        <w:t xml:space="preserve"> (“Secretarial Order”)</w:t>
      </w:r>
      <w:r w:rsidRPr="00631225">
        <w:rPr>
          <w:rFonts w:cs="Times New Roman"/>
          <w:szCs w:val="24"/>
        </w:rPr>
        <w:t xml:space="preserve">, which provides that the “overarching philosophy” guiding the </w:t>
      </w:r>
      <w:r w:rsidRPr="00631225" w:rsidR="00074EF4">
        <w:rPr>
          <w:rFonts w:cs="Times New Roman"/>
          <w:szCs w:val="24"/>
        </w:rPr>
        <w:t xml:space="preserve">amendment process </w:t>
      </w:r>
      <w:r w:rsidRPr="00631225">
        <w:rPr>
          <w:rFonts w:cs="Times New Roman"/>
          <w:szCs w:val="24"/>
        </w:rPr>
        <w:t xml:space="preserve">should include the “touchstone” of “respect[ing] state authority to manage wildlife, namely elk, deer, and pronghorn” and to “remain focused on state-identified priority migration corridors. . . . “  </w:t>
      </w:r>
      <w:r w:rsidRPr="00631225" w:rsidR="00A51AE8">
        <w:rPr>
          <w:rFonts w:cs="Times New Roman"/>
          <w:szCs w:val="24"/>
        </w:rPr>
        <w:t xml:space="preserve">Secretarial </w:t>
      </w:r>
      <w:r w:rsidRPr="00631225">
        <w:rPr>
          <w:rFonts w:cs="Times New Roman"/>
          <w:szCs w:val="24"/>
        </w:rPr>
        <w:t>Order at 4.</w:t>
      </w:r>
    </w:p>
    <w:p w:rsidRPr="00631225" w:rsidR="00BC62E2" w:rsidP="0008749E" w:rsidRDefault="0008749E" w14:paraId="365C0D0E" w14:textId="65CEF205">
      <w:pPr>
        <w:spacing w:line="480" w:lineRule="auto"/>
        <w:ind w:firstLine="720"/>
        <w:rPr>
          <w:rFonts w:cs="Times New Roman"/>
          <w:szCs w:val="24"/>
        </w:rPr>
      </w:pPr>
      <w:r w:rsidRPr="00631225">
        <w:rPr>
          <w:rFonts w:cs="Times New Roman"/>
          <w:szCs w:val="24"/>
        </w:rPr>
        <w:t xml:space="preserve">Colorado already has some of the most stringent regulations protecting wildlife migration corridors and habitat.  </w:t>
      </w:r>
      <w:r w:rsidRPr="00631225" w:rsidR="00804567">
        <w:rPr>
          <w:rFonts w:cs="Times New Roman"/>
          <w:szCs w:val="24"/>
        </w:rPr>
        <w:t>Last year</w:t>
      </w:r>
      <w:r w:rsidRPr="00631225" w:rsidR="005C6401">
        <w:rPr>
          <w:rFonts w:cs="Times New Roman"/>
          <w:szCs w:val="24"/>
        </w:rPr>
        <w:t xml:space="preserve">, </w:t>
      </w:r>
      <w:r w:rsidRPr="00631225" w:rsidR="00804567">
        <w:rPr>
          <w:rFonts w:cs="Times New Roman"/>
          <w:szCs w:val="24"/>
        </w:rPr>
        <w:t xml:space="preserve">the State of Colorado spent several months revising its wildlife regulations with respect to oil and gas development, a process which culminated in the </w:t>
      </w:r>
      <w:r w:rsidRPr="00631225" w:rsidR="00531C08">
        <w:rPr>
          <w:rFonts w:cs="Times New Roman"/>
          <w:szCs w:val="24"/>
        </w:rPr>
        <w:t>COGCC’s</w:t>
      </w:r>
      <w:r w:rsidRPr="00631225" w:rsidR="00BC62E2">
        <w:rPr>
          <w:rFonts w:cs="Times New Roman"/>
          <w:szCs w:val="24"/>
        </w:rPr>
        <w:t xml:space="preserve"> </w:t>
      </w:r>
      <w:r w:rsidRPr="00631225" w:rsidR="00804567">
        <w:rPr>
          <w:rFonts w:cs="Times New Roman"/>
          <w:szCs w:val="24"/>
        </w:rPr>
        <w:t xml:space="preserve">issuance of </w:t>
      </w:r>
      <w:r w:rsidRPr="00631225" w:rsidR="00C35F18">
        <w:rPr>
          <w:rFonts w:cs="Times New Roman"/>
          <w:szCs w:val="24"/>
        </w:rPr>
        <w:t xml:space="preserve">a </w:t>
      </w:r>
      <w:r w:rsidRPr="00631225" w:rsidR="00747EBF">
        <w:rPr>
          <w:rFonts w:cs="Times New Roman"/>
          <w:szCs w:val="24"/>
        </w:rPr>
        <w:t xml:space="preserve">significantly revised and broadened </w:t>
      </w:r>
      <w:r w:rsidRPr="00631225" w:rsidR="00804567">
        <w:rPr>
          <w:rFonts w:cs="Times New Roman"/>
          <w:szCs w:val="24"/>
        </w:rPr>
        <w:t xml:space="preserve">Rule 1200 </w:t>
      </w:r>
      <w:r w:rsidRPr="00631225" w:rsidR="00D75810">
        <w:rPr>
          <w:rFonts w:cs="Times New Roman"/>
          <w:szCs w:val="24"/>
        </w:rPr>
        <w:t>S</w:t>
      </w:r>
      <w:r w:rsidRPr="00631225" w:rsidR="00804567">
        <w:rPr>
          <w:rFonts w:cs="Times New Roman"/>
          <w:szCs w:val="24"/>
        </w:rPr>
        <w:t>eries</w:t>
      </w:r>
      <w:r w:rsidRPr="00631225" w:rsidR="00A51AE8">
        <w:rPr>
          <w:rFonts w:cs="Times New Roman"/>
          <w:szCs w:val="24"/>
        </w:rPr>
        <w:t>.  These rules</w:t>
      </w:r>
      <w:r w:rsidRPr="00631225" w:rsidR="00AA2129">
        <w:rPr>
          <w:rFonts w:cs="Times New Roman"/>
          <w:szCs w:val="24"/>
        </w:rPr>
        <w:t>, along with another recent COGCC rulemaking in April of 2022 specific to high priority habita</w:t>
      </w:r>
      <w:r w:rsidRPr="00631225" w:rsidR="00853E01">
        <w:rPr>
          <w:rFonts w:cs="Times New Roman"/>
          <w:szCs w:val="24"/>
        </w:rPr>
        <w:t>t,</w:t>
      </w:r>
      <w:r w:rsidRPr="00631225" w:rsidR="00A51AE8">
        <w:rPr>
          <w:rFonts w:cs="Times New Roman"/>
          <w:szCs w:val="24"/>
        </w:rPr>
        <w:t xml:space="preserve"> </w:t>
      </w:r>
      <w:r w:rsidRPr="00631225">
        <w:rPr>
          <w:rFonts w:cs="Times New Roman"/>
          <w:szCs w:val="24"/>
        </w:rPr>
        <w:t>incorporate CPW’s</w:t>
      </w:r>
      <w:r w:rsidRPr="00631225" w:rsidR="00804567">
        <w:rPr>
          <w:rFonts w:cs="Times New Roman"/>
          <w:szCs w:val="24"/>
        </w:rPr>
        <w:t xml:space="preserve"> comprehensive mapping o</w:t>
      </w:r>
      <w:r w:rsidRPr="00631225">
        <w:rPr>
          <w:rFonts w:cs="Times New Roman"/>
          <w:szCs w:val="24"/>
        </w:rPr>
        <w:t>f</w:t>
      </w:r>
      <w:r w:rsidRPr="00631225" w:rsidR="00804567">
        <w:rPr>
          <w:rFonts w:cs="Times New Roman"/>
          <w:szCs w:val="24"/>
        </w:rPr>
        <w:t xml:space="preserve"> wildlife habitat and migration</w:t>
      </w:r>
      <w:r w:rsidRPr="00631225" w:rsidR="00D475FD">
        <w:rPr>
          <w:rFonts w:cs="Times New Roman"/>
          <w:szCs w:val="24"/>
        </w:rPr>
        <w:t xml:space="preserve"> corridors</w:t>
      </w:r>
      <w:r w:rsidRPr="00631225" w:rsidR="00804567">
        <w:rPr>
          <w:rFonts w:cs="Times New Roman"/>
          <w:szCs w:val="24"/>
        </w:rPr>
        <w:t xml:space="preserve">.  BLM should defer to this comprehensive set of </w:t>
      </w:r>
      <w:r w:rsidRPr="00631225" w:rsidR="00A51AE8">
        <w:rPr>
          <w:rFonts w:cs="Times New Roman"/>
          <w:szCs w:val="24"/>
        </w:rPr>
        <w:t xml:space="preserve">state </w:t>
      </w:r>
      <w:r w:rsidRPr="00631225" w:rsidR="00804567">
        <w:rPr>
          <w:rFonts w:cs="Times New Roman"/>
          <w:szCs w:val="24"/>
        </w:rPr>
        <w:t xml:space="preserve">regulations </w:t>
      </w:r>
      <w:r w:rsidRPr="00631225">
        <w:rPr>
          <w:rFonts w:cs="Times New Roman"/>
          <w:szCs w:val="24"/>
        </w:rPr>
        <w:t>already in place</w:t>
      </w:r>
      <w:r w:rsidRPr="00631225" w:rsidR="006C5B19">
        <w:rPr>
          <w:rFonts w:cs="Times New Roman"/>
          <w:szCs w:val="24"/>
        </w:rPr>
        <w:t xml:space="preserve"> </w:t>
      </w:r>
      <w:r w:rsidR="002C4F02">
        <w:rPr>
          <w:rFonts w:cs="Times New Roman"/>
          <w:szCs w:val="24"/>
        </w:rPr>
        <w:t xml:space="preserve">(and as they may be amended by the state) </w:t>
      </w:r>
      <w:r w:rsidRPr="00631225" w:rsidR="006C5B19">
        <w:rPr>
          <w:rFonts w:cs="Times New Roman"/>
          <w:szCs w:val="24"/>
        </w:rPr>
        <w:t>throughout the amendment and EIS process</w:t>
      </w:r>
      <w:r w:rsidRPr="00631225" w:rsidR="004A14DD">
        <w:rPr>
          <w:rFonts w:cs="Times New Roman"/>
          <w:szCs w:val="24"/>
        </w:rPr>
        <w:t>, including deferring to state decisions regarding how to accomplish mitigation where it is required</w:t>
      </w:r>
      <w:r w:rsidRPr="00631225" w:rsidR="00935CA1">
        <w:rPr>
          <w:rFonts w:cs="Times New Roman"/>
          <w:szCs w:val="24"/>
        </w:rPr>
        <w:t xml:space="preserve">.  </w:t>
      </w:r>
      <w:r w:rsidRPr="00631225" w:rsidR="00006456">
        <w:rPr>
          <w:rFonts w:cs="Times New Roman"/>
          <w:szCs w:val="24"/>
        </w:rPr>
        <w:t xml:space="preserve">For </w:t>
      </w:r>
      <w:r w:rsidRPr="00631225" w:rsidR="00935CA1">
        <w:rPr>
          <w:rFonts w:cs="Times New Roman"/>
          <w:szCs w:val="24"/>
        </w:rPr>
        <w:t>example, if</w:t>
      </w:r>
      <w:r w:rsidRPr="00631225" w:rsidR="004A14DD">
        <w:rPr>
          <w:rFonts w:cs="Times New Roman"/>
          <w:szCs w:val="24"/>
        </w:rPr>
        <w:t xml:space="preserve"> the state approves a mitigation plan whereby an operator will conduct compensatory mitigation or </w:t>
      </w:r>
      <w:r w:rsidRPr="00631225" w:rsidR="0043533B">
        <w:rPr>
          <w:rFonts w:cs="Times New Roman"/>
          <w:szCs w:val="24"/>
        </w:rPr>
        <w:t xml:space="preserve">remit a mitigation fee, that decision should be honored and </w:t>
      </w:r>
      <w:r w:rsidRPr="00631225" w:rsidR="0054738E">
        <w:rPr>
          <w:rFonts w:cs="Times New Roman"/>
          <w:szCs w:val="24"/>
        </w:rPr>
        <w:t xml:space="preserve">different or </w:t>
      </w:r>
      <w:r w:rsidRPr="00631225" w:rsidR="0043533B">
        <w:rPr>
          <w:rFonts w:cs="Times New Roman"/>
          <w:szCs w:val="24"/>
        </w:rPr>
        <w:t xml:space="preserve">duplicative </w:t>
      </w:r>
      <w:r w:rsidRPr="00631225" w:rsidR="00935CA1">
        <w:rPr>
          <w:rFonts w:cs="Times New Roman"/>
          <w:szCs w:val="24"/>
        </w:rPr>
        <w:t xml:space="preserve">compensatory mitigation </w:t>
      </w:r>
      <w:r w:rsidRPr="00631225" w:rsidR="0043533B">
        <w:rPr>
          <w:rFonts w:cs="Times New Roman"/>
          <w:szCs w:val="24"/>
        </w:rPr>
        <w:t xml:space="preserve">actions or </w:t>
      </w:r>
      <w:r w:rsidRPr="00631225" w:rsidR="00935CA1">
        <w:rPr>
          <w:rFonts w:cs="Times New Roman"/>
          <w:szCs w:val="24"/>
        </w:rPr>
        <w:t xml:space="preserve">remission of mitigation </w:t>
      </w:r>
      <w:r w:rsidRPr="00631225" w:rsidR="0043533B">
        <w:rPr>
          <w:rFonts w:cs="Times New Roman"/>
          <w:szCs w:val="24"/>
        </w:rPr>
        <w:t>fees should not be required by BLM</w:t>
      </w:r>
      <w:r w:rsidRPr="00631225" w:rsidR="006C5B19">
        <w:rPr>
          <w:rFonts w:cs="Times New Roman"/>
          <w:szCs w:val="24"/>
        </w:rPr>
        <w:t>.</w:t>
      </w:r>
    </w:p>
    <w:p w:rsidRPr="00631225" w:rsidR="00BC62E2" w:rsidP="00BC62E2" w:rsidRDefault="009474DF" w14:paraId="046D98AC" w14:textId="55BA61B1">
      <w:pPr>
        <w:spacing w:line="480" w:lineRule="auto"/>
        <w:ind w:firstLine="720"/>
        <w:rPr>
          <w:rFonts w:cs="Times New Roman"/>
          <w:szCs w:val="24"/>
        </w:rPr>
      </w:pPr>
      <w:r w:rsidRPr="00631225">
        <w:rPr>
          <w:rFonts w:cs="Times New Roman"/>
          <w:szCs w:val="24"/>
        </w:rPr>
        <w:t>“</w:t>
      </w:r>
      <w:r w:rsidRPr="00631225" w:rsidR="00BC62E2">
        <w:rPr>
          <w:rFonts w:cs="Times New Roman"/>
          <w:szCs w:val="24"/>
        </w:rPr>
        <w:t>C</w:t>
      </w:r>
      <w:r w:rsidRPr="00631225">
        <w:rPr>
          <w:rFonts w:cs="Times New Roman"/>
          <w:szCs w:val="24"/>
        </w:rPr>
        <w:t xml:space="preserve">onsistency” is a goal required by </w:t>
      </w:r>
      <w:r w:rsidRPr="00631225" w:rsidR="00A51AE8">
        <w:rPr>
          <w:rFonts w:cs="Times New Roman"/>
          <w:szCs w:val="24"/>
        </w:rPr>
        <w:t>the Secretarial Order</w:t>
      </w:r>
      <w:r w:rsidRPr="00631225">
        <w:rPr>
          <w:rFonts w:cs="Times New Roman"/>
          <w:szCs w:val="24"/>
        </w:rPr>
        <w:t xml:space="preserve">, which this </w:t>
      </w:r>
      <w:r w:rsidRPr="00631225" w:rsidR="00804567">
        <w:rPr>
          <w:rFonts w:cs="Times New Roman"/>
          <w:szCs w:val="24"/>
        </w:rPr>
        <w:t xml:space="preserve">rule </w:t>
      </w:r>
      <w:r w:rsidRPr="00631225">
        <w:rPr>
          <w:rFonts w:cs="Times New Roman"/>
          <w:szCs w:val="24"/>
        </w:rPr>
        <w:t xml:space="preserve">amendment process implements.  </w:t>
      </w:r>
      <w:r w:rsidRPr="00631225">
        <w:rPr>
          <w:rFonts w:cs="Times New Roman"/>
          <w:i/>
          <w:iCs/>
          <w:szCs w:val="24"/>
        </w:rPr>
        <w:t xml:space="preserve">See </w:t>
      </w:r>
      <w:r w:rsidRPr="00631225" w:rsidR="00A51AE8">
        <w:rPr>
          <w:rFonts w:cs="Times New Roman"/>
          <w:szCs w:val="24"/>
        </w:rPr>
        <w:t xml:space="preserve">Secretarial </w:t>
      </w:r>
      <w:r w:rsidRPr="00631225">
        <w:rPr>
          <w:rFonts w:cs="Times New Roman"/>
          <w:szCs w:val="24"/>
        </w:rPr>
        <w:t xml:space="preserve">Order at </w:t>
      </w:r>
      <w:r w:rsidRPr="00631225" w:rsidR="00074E97">
        <w:rPr>
          <w:rFonts w:cs="Times New Roman"/>
          <w:szCs w:val="24"/>
        </w:rPr>
        <w:t xml:space="preserve">Sec. 4.d.(3). </w:t>
      </w:r>
      <w:r w:rsidRPr="00631225" w:rsidR="00BC62E2">
        <w:rPr>
          <w:rFonts w:cs="Times New Roman"/>
          <w:szCs w:val="24"/>
        </w:rPr>
        <w:t xml:space="preserve"> As </w:t>
      </w:r>
      <w:r w:rsidRPr="00631225" w:rsidR="00074E97">
        <w:rPr>
          <w:rFonts w:cs="Times New Roman"/>
          <w:szCs w:val="24"/>
        </w:rPr>
        <w:t>BLM acknowledge</w:t>
      </w:r>
      <w:r w:rsidRPr="00631225" w:rsidR="001D77C8">
        <w:rPr>
          <w:rFonts w:cs="Times New Roman"/>
          <w:szCs w:val="24"/>
        </w:rPr>
        <w:t>s</w:t>
      </w:r>
      <w:r w:rsidRPr="00631225" w:rsidR="00804567">
        <w:rPr>
          <w:rFonts w:cs="Times New Roman"/>
          <w:szCs w:val="24"/>
        </w:rPr>
        <w:t xml:space="preserve">: </w:t>
      </w:r>
      <w:r w:rsidRPr="00631225" w:rsidR="00074E97">
        <w:rPr>
          <w:rFonts w:cs="Times New Roman"/>
          <w:szCs w:val="24"/>
        </w:rPr>
        <w:t xml:space="preserve">“A driver for this amendment is to evaluate land use planning decisions to be consistent with the </w:t>
      </w:r>
      <w:r w:rsidRPr="00631225" w:rsidR="00BC62E2">
        <w:rPr>
          <w:rFonts w:cs="Times New Roman"/>
          <w:szCs w:val="24"/>
        </w:rPr>
        <w:t>[COGCC]</w:t>
      </w:r>
      <w:r w:rsidRPr="00631225" w:rsidR="00074E97">
        <w:rPr>
          <w:rFonts w:cs="Times New Roman"/>
          <w:szCs w:val="24"/>
        </w:rPr>
        <w:t xml:space="preserve"> rulemaking, which adopted new rules [1200 series] regulating the permitting, development, and operation of oil and gas facilities in wildlife habitat.”  </w:t>
      </w:r>
      <w:r w:rsidRPr="00631225" w:rsidR="00BC4142">
        <w:rPr>
          <w:rFonts w:cs="Times New Roman"/>
          <w:szCs w:val="24"/>
        </w:rPr>
        <w:t>Big Game Habitat Movement Route Corridor Resource Management Amendment Public Scoping</w:t>
      </w:r>
      <w:r w:rsidRPr="00631225" w:rsidR="00074E97">
        <w:rPr>
          <w:rFonts w:cs="Times New Roman"/>
          <w:szCs w:val="24"/>
        </w:rPr>
        <w:t xml:space="preserve"> Brochure </w:t>
      </w:r>
      <w:r w:rsidRPr="00631225" w:rsidR="00BC4142">
        <w:rPr>
          <w:rFonts w:cs="Times New Roman"/>
          <w:szCs w:val="24"/>
        </w:rPr>
        <w:t xml:space="preserve">(“Scoping Brochure”) </w:t>
      </w:r>
      <w:r w:rsidRPr="00631225" w:rsidR="00074E97">
        <w:rPr>
          <w:rFonts w:cs="Times New Roman"/>
          <w:szCs w:val="24"/>
        </w:rPr>
        <w:t xml:space="preserve">at 2.  </w:t>
      </w:r>
      <w:r w:rsidRPr="00631225" w:rsidR="00FD1834">
        <w:rPr>
          <w:rFonts w:cs="Times New Roman"/>
          <w:i/>
          <w:iCs/>
          <w:szCs w:val="24"/>
        </w:rPr>
        <w:t>See als</w:t>
      </w:r>
      <w:r w:rsidRPr="00631225" w:rsidR="00BC4142">
        <w:rPr>
          <w:rFonts w:cs="Times New Roman"/>
          <w:i/>
          <w:iCs/>
          <w:szCs w:val="24"/>
        </w:rPr>
        <w:t>o</w:t>
      </w:r>
      <w:r w:rsidRPr="00631225" w:rsidR="00FD1834">
        <w:rPr>
          <w:rFonts w:cs="Times New Roman"/>
          <w:szCs w:val="24"/>
        </w:rPr>
        <w:t xml:space="preserve"> Notice </w:t>
      </w:r>
      <w:r w:rsidRPr="00631225" w:rsidR="000614A9">
        <w:rPr>
          <w:rFonts w:cs="Times New Roman"/>
          <w:szCs w:val="24"/>
        </w:rPr>
        <w:t>o</w:t>
      </w:r>
      <w:r w:rsidRPr="00631225" w:rsidR="00FD1834">
        <w:rPr>
          <w:rFonts w:cs="Times New Roman"/>
          <w:szCs w:val="24"/>
        </w:rPr>
        <w:t xml:space="preserve">f Intent </w:t>
      </w:r>
      <w:r w:rsidRPr="00631225" w:rsidR="00BC4142">
        <w:rPr>
          <w:rFonts w:cs="Times New Roman"/>
          <w:szCs w:val="24"/>
        </w:rPr>
        <w:t>at 5 (</w:t>
      </w:r>
      <w:r w:rsidRPr="00631225" w:rsidR="00FD1834">
        <w:rPr>
          <w:rFonts w:cs="Times New Roman"/>
          <w:szCs w:val="24"/>
        </w:rPr>
        <w:t>“The BLM will strive for consistency with plans or policies and programs of other Federal agencies, State and Local governments. . . .”</w:t>
      </w:r>
      <w:r w:rsidRPr="00631225" w:rsidR="00BC4142">
        <w:rPr>
          <w:rFonts w:cs="Times New Roman"/>
          <w:szCs w:val="24"/>
        </w:rPr>
        <w:t>).</w:t>
      </w:r>
      <w:r w:rsidRPr="00631225" w:rsidR="00FD1834">
        <w:rPr>
          <w:rFonts w:cs="Times New Roman"/>
          <w:szCs w:val="24"/>
        </w:rPr>
        <w:t xml:space="preserve"> </w:t>
      </w:r>
      <w:r w:rsidRPr="00631225" w:rsidR="00BC62E2">
        <w:rPr>
          <w:rFonts w:cs="Times New Roman"/>
          <w:szCs w:val="24"/>
        </w:rPr>
        <w:t xml:space="preserve"> </w:t>
      </w:r>
      <w:r w:rsidRPr="00631225" w:rsidR="00747EBF">
        <w:rPr>
          <w:rFonts w:cs="Times New Roman"/>
          <w:szCs w:val="24"/>
        </w:rPr>
        <w:t>Consistency is best achieved when there is no conflict between BLM and state rules and guidance.  I</w:t>
      </w:r>
      <w:r w:rsidRPr="00631225" w:rsidR="00AA2129">
        <w:rPr>
          <w:rFonts w:cs="Times New Roman"/>
          <w:szCs w:val="24"/>
        </w:rPr>
        <w:t>mplementation is</w:t>
      </w:r>
      <w:r w:rsidRPr="00631225" w:rsidR="00747EBF">
        <w:rPr>
          <w:rFonts w:cs="Times New Roman"/>
          <w:szCs w:val="24"/>
        </w:rPr>
        <w:t xml:space="preserve"> difficult for operators and respective state </w:t>
      </w:r>
      <w:r w:rsidRPr="00631225" w:rsidR="00AA2129">
        <w:rPr>
          <w:rFonts w:cs="Times New Roman"/>
          <w:szCs w:val="24"/>
        </w:rPr>
        <w:t xml:space="preserve">and </w:t>
      </w:r>
      <w:r w:rsidRPr="00631225" w:rsidR="00747EBF">
        <w:rPr>
          <w:rFonts w:cs="Times New Roman"/>
          <w:szCs w:val="24"/>
        </w:rPr>
        <w:t>federal agency staff alike when BLM and state law are inconsiste</w:t>
      </w:r>
      <w:r w:rsidRPr="00631225" w:rsidR="00AA2129">
        <w:rPr>
          <w:rFonts w:cs="Times New Roman"/>
          <w:szCs w:val="24"/>
        </w:rPr>
        <w:t xml:space="preserve">nt.  </w:t>
      </w:r>
    </w:p>
    <w:p w:rsidRPr="00631225" w:rsidR="005C6401" w:rsidP="00C50744" w:rsidRDefault="00747EBF" w14:paraId="7B86B601" w14:textId="703C44E4">
      <w:pPr>
        <w:spacing w:line="480" w:lineRule="auto"/>
        <w:ind w:firstLine="720"/>
        <w:rPr>
          <w:rFonts w:cs="Times New Roman"/>
          <w:szCs w:val="24"/>
        </w:rPr>
      </w:pPr>
      <w:r w:rsidRPr="00631225">
        <w:rPr>
          <w:rFonts w:cs="Times New Roman"/>
          <w:szCs w:val="24"/>
        </w:rPr>
        <w:t xml:space="preserve">Additionally, </w:t>
      </w:r>
      <w:r w:rsidRPr="00631225" w:rsidR="00BC62E2">
        <w:rPr>
          <w:rFonts w:cs="Times New Roman"/>
          <w:szCs w:val="24"/>
        </w:rPr>
        <w:t xml:space="preserve">comprehensive state regulations already ensure that BLM has a substantial say in how </w:t>
      </w:r>
      <w:r w:rsidRPr="00631225" w:rsidR="0071442D">
        <w:rPr>
          <w:rFonts w:cs="Times New Roman"/>
          <w:szCs w:val="24"/>
        </w:rPr>
        <w:t>wildlife habitat</w:t>
      </w:r>
      <w:r w:rsidRPr="00631225" w:rsidR="00BC62E2">
        <w:rPr>
          <w:rFonts w:cs="Times New Roman"/>
          <w:szCs w:val="24"/>
        </w:rPr>
        <w:t xml:space="preserve"> is managed in Colorado with respect to oil and gas</w:t>
      </w:r>
      <w:r w:rsidRPr="00631225" w:rsidR="002B21DD">
        <w:rPr>
          <w:rFonts w:cs="Times New Roman"/>
          <w:szCs w:val="24"/>
        </w:rPr>
        <w:t xml:space="preserve"> development</w:t>
      </w:r>
      <w:r w:rsidRPr="00631225" w:rsidR="00BC62E2">
        <w:rPr>
          <w:rFonts w:cs="Times New Roman"/>
          <w:szCs w:val="24"/>
        </w:rPr>
        <w:t xml:space="preserve"> on federal lands.  For example, COGCC Rules 301.f. and 303.a.(6) provide procedures for coordination with federal agency permitting processes. COGCC Rule 306.b.(2).B. requires the Director</w:t>
      </w:r>
      <w:r w:rsidRPr="00631225" w:rsidR="0071442D">
        <w:rPr>
          <w:rFonts w:cs="Times New Roman"/>
          <w:szCs w:val="24"/>
        </w:rPr>
        <w:t xml:space="preserve"> of the COGC</w:t>
      </w:r>
      <w:r w:rsidRPr="00631225" w:rsidR="00C9649D">
        <w:rPr>
          <w:rFonts w:cs="Times New Roman"/>
          <w:szCs w:val="24"/>
        </w:rPr>
        <w:t>C</w:t>
      </w:r>
      <w:r w:rsidRPr="00631225" w:rsidR="00BC62E2">
        <w:rPr>
          <w:rFonts w:cs="Times New Roman"/>
          <w:szCs w:val="24"/>
        </w:rPr>
        <w:t xml:space="preserve"> to consider environmental analyses,</w:t>
      </w:r>
      <w:r w:rsidRPr="00631225" w:rsidR="002B21DD">
        <w:rPr>
          <w:rFonts w:cs="Times New Roman"/>
          <w:szCs w:val="24"/>
        </w:rPr>
        <w:t xml:space="preserve"> </w:t>
      </w:r>
      <w:r w:rsidRPr="00631225" w:rsidR="00BC62E2">
        <w:rPr>
          <w:rFonts w:cs="Times New Roman"/>
          <w:szCs w:val="24"/>
        </w:rPr>
        <w:t xml:space="preserve">stipulations, and conditions of approval conducted pursuant to federal permitting processes prior to recommending additional conditions of approval for an oil and gas development plan.  COGCC Rule 314.f.(4).D. </w:t>
      </w:r>
      <w:r w:rsidRPr="00631225" w:rsidR="002B21DD">
        <w:rPr>
          <w:rFonts w:cs="Times New Roman"/>
          <w:szCs w:val="24"/>
        </w:rPr>
        <w:t>mandates that</w:t>
      </w:r>
      <w:r w:rsidRPr="00631225" w:rsidR="00BC62E2">
        <w:rPr>
          <w:rFonts w:cs="Times New Roman"/>
          <w:szCs w:val="24"/>
        </w:rPr>
        <w:t xml:space="preserve"> operators consult with appropriate federal agencies when proposing a comprehensive area plan that involves federal surface or mineral estate.</w:t>
      </w:r>
      <w:r w:rsidRPr="00631225" w:rsidR="002B21DD">
        <w:rPr>
          <w:rFonts w:cs="Times New Roman"/>
          <w:szCs w:val="24"/>
        </w:rPr>
        <w:t xml:space="preserve"> </w:t>
      </w:r>
      <w:r w:rsidRPr="00631225" w:rsidR="008F1857">
        <w:rPr>
          <w:rFonts w:cs="Times New Roman"/>
          <w:i/>
          <w:iCs/>
          <w:szCs w:val="24"/>
        </w:rPr>
        <w:t xml:space="preserve">See </w:t>
      </w:r>
      <w:r w:rsidRPr="00631225" w:rsidR="002B21DD">
        <w:rPr>
          <w:rFonts w:cs="Times New Roman"/>
          <w:i/>
          <w:iCs/>
          <w:szCs w:val="24"/>
        </w:rPr>
        <w:t>also</w:t>
      </w:r>
      <w:r w:rsidRPr="00631225" w:rsidR="002B21DD">
        <w:rPr>
          <w:rFonts w:cs="Times New Roman"/>
          <w:szCs w:val="24"/>
        </w:rPr>
        <w:t xml:space="preserve"> </w:t>
      </w:r>
      <w:r w:rsidRPr="00631225" w:rsidR="00A11CCF">
        <w:rPr>
          <w:rFonts w:cs="Times New Roman"/>
          <w:i/>
          <w:iCs/>
          <w:szCs w:val="24"/>
        </w:rPr>
        <w:t>Statement of Basis, Specific Statutory Authority, and Purpose New Rules and Amendments to Current Rules of the Colorado Oil and Gas Conservation Commission</w:t>
      </w:r>
      <w:r w:rsidRPr="00631225" w:rsidR="00A11CCF">
        <w:rPr>
          <w:rFonts w:cs="Times New Roman"/>
          <w:szCs w:val="24"/>
        </w:rPr>
        <w:t>, 2 C.C.R. § 404-1Cause No. 1R, Docket No. 200600155, 800/900/1200 Mission Change, Cumulative Impacts, and Alternative Location Analysis Rulemaking (“1200 Series SBP”) at</w:t>
      </w:r>
      <w:r w:rsidR="00786464">
        <w:rPr>
          <w:rFonts w:cs="Times New Roman"/>
          <w:szCs w:val="24"/>
        </w:rPr>
        <w:t xml:space="preserve"> </w:t>
      </w:r>
      <w:r w:rsidRPr="00631225" w:rsidR="008F1857">
        <w:rPr>
          <w:rFonts w:cs="Times New Roman"/>
          <w:szCs w:val="24"/>
        </w:rPr>
        <w:t xml:space="preserve">175-176 (“The Commission and CPW will continue to work closely with the </w:t>
      </w:r>
      <w:r w:rsidRPr="00631225" w:rsidR="00A51AE8">
        <w:rPr>
          <w:rFonts w:cs="Times New Roman"/>
          <w:szCs w:val="24"/>
        </w:rPr>
        <w:t>[BLM]</w:t>
      </w:r>
      <w:r w:rsidRPr="00631225" w:rsidR="008F1857">
        <w:rPr>
          <w:rFonts w:cs="Times New Roman"/>
          <w:szCs w:val="24"/>
        </w:rPr>
        <w:t xml:space="preserve"> especially with respect to BLM’s plans for development on federally-owned surface. . . . </w:t>
      </w:r>
      <w:r w:rsidRPr="00631225" w:rsidR="0008749E">
        <w:rPr>
          <w:rFonts w:cs="Times New Roman"/>
          <w:szCs w:val="24"/>
        </w:rPr>
        <w:t xml:space="preserve"> </w:t>
      </w:r>
      <w:r w:rsidRPr="00631225" w:rsidR="008F1857">
        <w:rPr>
          <w:rFonts w:cs="Times New Roman"/>
          <w:szCs w:val="24"/>
        </w:rPr>
        <w:t>Coordinating with BLM, as a federal land manager, early in the process is important to achieving complementary permitting outcomes, and therefore, consistent with prior practice, the Commission expects operators to include all permitting agencies in on-site evaluations and identify potential conflicts to both state and federal agencies for joint</w:t>
      </w:r>
      <w:r w:rsidRPr="00631225" w:rsidR="00C50744">
        <w:rPr>
          <w:rFonts w:cs="Times New Roman"/>
          <w:szCs w:val="24"/>
        </w:rPr>
        <w:t xml:space="preserve"> </w:t>
      </w:r>
      <w:r w:rsidRPr="00631225" w:rsidR="008F1857">
        <w:rPr>
          <w:rFonts w:cs="Times New Roman"/>
          <w:szCs w:val="24"/>
        </w:rPr>
        <w:t xml:space="preserve">resolution”). </w:t>
      </w:r>
      <w:r w:rsidRPr="00631225" w:rsidR="001D77C8">
        <w:rPr>
          <w:rFonts w:cs="Times New Roman"/>
          <w:szCs w:val="24"/>
        </w:rPr>
        <w:t xml:space="preserve"> </w:t>
      </w:r>
      <w:r w:rsidRPr="002C4F02" w:rsidR="002C4F02">
        <w:rPr>
          <w:rFonts w:cs="Times New Roman"/>
          <w:szCs w:val="24"/>
        </w:rPr>
        <w:t>The Associations</w:t>
      </w:r>
      <w:r w:rsidRPr="00631225" w:rsidR="00C35F18">
        <w:rPr>
          <w:rFonts w:cs="Times New Roman"/>
          <w:szCs w:val="24"/>
        </w:rPr>
        <w:t xml:space="preserve"> ha</w:t>
      </w:r>
      <w:r w:rsidR="002C4F02">
        <w:rPr>
          <w:rFonts w:cs="Times New Roman"/>
          <w:szCs w:val="24"/>
        </w:rPr>
        <w:t>ve</w:t>
      </w:r>
      <w:r w:rsidRPr="00631225" w:rsidR="00F6425D">
        <w:rPr>
          <w:rFonts w:cs="Times New Roman"/>
          <w:szCs w:val="24"/>
        </w:rPr>
        <w:t xml:space="preserve"> no reason to believe—and BLM has provided no data to the contrary—suggesting that the existing process of BLM consulting with COGCC and CPW using CPW big game data in its </w:t>
      </w:r>
      <w:r w:rsidRPr="00631225" w:rsidR="000614A9">
        <w:rPr>
          <w:rFonts w:cs="Times New Roman"/>
          <w:szCs w:val="24"/>
        </w:rPr>
        <w:t>National Environmental Policy Act (“</w:t>
      </w:r>
      <w:r w:rsidRPr="00631225" w:rsidR="00F6425D">
        <w:rPr>
          <w:rFonts w:cs="Times New Roman"/>
          <w:szCs w:val="24"/>
        </w:rPr>
        <w:t>NEPA</w:t>
      </w:r>
      <w:r w:rsidRPr="00631225" w:rsidR="000614A9">
        <w:rPr>
          <w:rFonts w:cs="Times New Roman"/>
          <w:szCs w:val="24"/>
        </w:rPr>
        <w:t>”)</w:t>
      </w:r>
      <w:r w:rsidRPr="00631225" w:rsidR="00F6425D">
        <w:rPr>
          <w:rFonts w:cs="Times New Roman"/>
          <w:szCs w:val="24"/>
        </w:rPr>
        <w:t xml:space="preserve"> evaluations is not working.</w:t>
      </w:r>
    </w:p>
    <w:p w:rsidRPr="00631225" w:rsidR="002D1BDB" w:rsidP="002D1BDB" w:rsidRDefault="009C4280" w14:paraId="7A01350D" w14:textId="27805F16">
      <w:pPr>
        <w:spacing w:line="480" w:lineRule="auto"/>
        <w:ind w:firstLine="720"/>
        <w:rPr>
          <w:rFonts w:cs="Times New Roman"/>
          <w:szCs w:val="24"/>
        </w:rPr>
      </w:pPr>
      <w:r w:rsidRPr="00631225">
        <w:rPr>
          <w:rFonts w:cs="Times New Roman"/>
          <w:szCs w:val="24"/>
        </w:rPr>
        <w:t xml:space="preserve">Of note when considering why </w:t>
      </w:r>
      <w:r w:rsidRPr="00631225" w:rsidR="0008749E">
        <w:rPr>
          <w:rFonts w:cs="Times New Roman"/>
          <w:szCs w:val="24"/>
        </w:rPr>
        <w:t xml:space="preserve">BLM should defer </w:t>
      </w:r>
      <w:r w:rsidRPr="00631225" w:rsidR="00FF0482">
        <w:rPr>
          <w:rFonts w:cs="Times New Roman"/>
          <w:szCs w:val="24"/>
        </w:rPr>
        <w:t xml:space="preserve">to </w:t>
      </w:r>
      <w:r w:rsidRPr="00631225">
        <w:rPr>
          <w:rFonts w:cs="Times New Roman"/>
          <w:szCs w:val="24"/>
        </w:rPr>
        <w:t xml:space="preserve">COGCC Rules and </w:t>
      </w:r>
      <w:r w:rsidRPr="00631225" w:rsidR="00FF0482">
        <w:rPr>
          <w:rFonts w:cs="Times New Roman"/>
          <w:szCs w:val="24"/>
        </w:rPr>
        <w:t xml:space="preserve">the comprehensive mapping CPW </w:t>
      </w:r>
      <w:r w:rsidRPr="00631225">
        <w:rPr>
          <w:rFonts w:cs="Times New Roman"/>
          <w:szCs w:val="24"/>
        </w:rPr>
        <w:t xml:space="preserve">generates, the two agencies’ </w:t>
      </w:r>
      <w:r w:rsidRPr="00631225" w:rsidR="002C41E7">
        <w:rPr>
          <w:rFonts w:cs="Times New Roman"/>
          <w:szCs w:val="24"/>
        </w:rPr>
        <w:t xml:space="preserve">big game data collection and management procedures </w:t>
      </w:r>
      <w:r w:rsidRPr="00631225" w:rsidR="00A51AE8">
        <w:rPr>
          <w:rFonts w:cs="Times New Roman"/>
          <w:szCs w:val="24"/>
        </w:rPr>
        <w:t>ha</w:t>
      </w:r>
      <w:r w:rsidRPr="00631225" w:rsidR="00A11CCF">
        <w:rPr>
          <w:rFonts w:cs="Times New Roman"/>
          <w:szCs w:val="24"/>
        </w:rPr>
        <w:t>ve</w:t>
      </w:r>
      <w:r w:rsidRPr="00631225" w:rsidR="002C41E7">
        <w:rPr>
          <w:rFonts w:cs="Times New Roman"/>
          <w:szCs w:val="24"/>
        </w:rPr>
        <w:t xml:space="preserve"> evolved and improved </w:t>
      </w:r>
      <w:r w:rsidRPr="00631225">
        <w:rPr>
          <w:rFonts w:cs="Times New Roman"/>
          <w:szCs w:val="24"/>
        </w:rPr>
        <w:t xml:space="preserve">over the past two decades.  </w:t>
      </w:r>
      <w:r w:rsidRPr="00631225" w:rsidR="00C35F18">
        <w:rPr>
          <w:rFonts w:cs="Times New Roman"/>
          <w:szCs w:val="24"/>
        </w:rPr>
        <w:t>In</w:t>
      </w:r>
      <w:r w:rsidRPr="00631225">
        <w:rPr>
          <w:rFonts w:cs="Times New Roman"/>
          <w:szCs w:val="24"/>
        </w:rPr>
        <w:t xml:space="preserve"> 2008, the</w:t>
      </w:r>
      <w:r w:rsidRPr="00631225" w:rsidR="006C3050">
        <w:rPr>
          <w:rFonts w:cs="Times New Roman"/>
          <w:szCs w:val="24"/>
        </w:rPr>
        <w:t xml:space="preserve"> Colorado legislature added </w:t>
      </w:r>
      <w:r w:rsidRPr="00631225" w:rsidR="002C41E7">
        <w:rPr>
          <w:rFonts w:cs="Times New Roman"/>
          <w:szCs w:val="24"/>
        </w:rPr>
        <w:t>wildlife to COGCC’s regulatory authori</w:t>
      </w:r>
      <w:r w:rsidRPr="00631225" w:rsidR="006C3050">
        <w:rPr>
          <w:rFonts w:cs="Times New Roman"/>
          <w:szCs w:val="24"/>
        </w:rPr>
        <w:t>t</w:t>
      </w:r>
      <w:r w:rsidRPr="00631225" w:rsidR="002C41E7">
        <w:rPr>
          <w:rFonts w:cs="Times New Roman"/>
          <w:szCs w:val="24"/>
        </w:rPr>
        <w:t>y and</w:t>
      </w:r>
      <w:r w:rsidRPr="00631225" w:rsidR="006C3050">
        <w:rPr>
          <w:rFonts w:cs="Times New Roman"/>
          <w:szCs w:val="24"/>
        </w:rPr>
        <w:t>, in turn, required</w:t>
      </w:r>
      <w:r w:rsidRPr="00631225" w:rsidR="002C41E7">
        <w:rPr>
          <w:rFonts w:cs="Times New Roman"/>
          <w:szCs w:val="24"/>
        </w:rPr>
        <w:t xml:space="preserve"> CPW to provide consultation and advisory services to COGCC.</w:t>
      </w:r>
      <w:r w:rsidR="00FF0838">
        <w:rPr>
          <w:rFonts w:cs="Times New Roman"/>
          <w:szCs w:val="24"/>
        </w:rPr>
        <w:t xml:space="preserve">  </w:t>
      </w:r>
      <w:r w:rsidRPr="00631225" w:rsidR="002C41E7">
        <w:rPr>
          <w:rFonts w:cs="Times New Roman"/>
          <w:szCs w:val="24"/>
        </w:rPr>
        <w:t>Pursuant to this authority</w:t>
      </w:r>
      <w:r w:rsidRPr="00631225" w:rsidR="00BC28E9">
        <w:rPr>
          <w:rFonts w:cs="Times New Roman"/>
          <w:szCs w:val="24"/>
        </w:rPr>
        <w:t xml:space="preserve">, </w:t>
      </w:r>
      <w:r w:rsidRPr="00631225" w:rsidR="00A11CCF">
        <w:rPr>
          <w:rFonts w:cs="Times New Roman"/>
          <w:szCs w:val="24"/>
        </w:rPr>
        <w:t xml:space="preserve">COGCC </w:t>
      </w:r>
      <w:r w:rsidRPr="00631225" w:rsidR="002C41E7">
        <w:rPr>
          <w:rFonts w:cs="Times New Roman"/>
          <w:szCs w:val="24"/>
        </w:rPr>
        <w:t>under the 1200 Series</w:t>
      </w:r>
      <w:r w:rsidRPr="00631225" w:rsidR="00BC28E9">
        <w:rPr>
          <w:rFonts w:cs="Times New Roman"/>
          <w:szCs w:val="24"/>
        </w:rPr>
        <w:t xml:space="preserve"> is obligated to update its wildlife maps every year</w:t>
      </w:r>
      <w:r w:rsidRPr="00631225" w:rsidR="00A11CCF">
        <w:rPr>
          <w:rFonts w:cs="Times New Roman"/>
          <w:szCs w:val="24"/>
        </w:rPr>
        <w:t>, based on CPW</w:t>
      </w:r>
      <w:r w:rsidRPr="00631225" w:rsidR="0071442D">
        <w:rPr>
          <w:rFonts w:cs="Times New Roman"/>
          <w:szCs w:val="24"/>
        </w:rPr>
        <w:t>’s latest</w:t>
      </w:r>
      <w:r w:rsidRPr="00631225" w:rsidR="00A11CCF">
        <w:rPr>
          <w:rFonts w:cs="Times New Roman"/>
          <w:szCs w:val="24"/>
        </w:rPr>
        <w:t xml:space="preserve"> data, which</w:t>
      </w:r>
      <w:r w:rsidRPr="00631225" w:rsidR="0071442D">
        <w:rPr>
          <w:rFonts w:cs="Times New Roman"/>
          <w:szCs w:val="24"/>
        </w:rPr>
        <w:t xml:space="preserve"> is updated annually on a rotating quadrant</w:t>
      </w:r>
      <w:r w:rsidRPr="00631225" w:rsidR="00813CE2">
        <w:rPr>
          <w:rFonts w:cs="Times New Roman"/>
          <w:szCs w:val="24"/>
        </w:rPr>
        <w:t xml:space="preserve"> (e.g.</w:t>
      </w:r>
      <w:r w:rsidR="00E82998">
        <w:rPr>
          <w:rFonts w:cs="Times New Roman"/>
          <w:szCs w:val="24"/>
        </w:rPr>
        <w:t>,</w:t>
      </w:r>
      <w:r w:rsidRPr="00631225" w:rsidR="00813CE2">
        <w:rPr>
          <w:rFonts w:cs="Times New Roman"/>
          <w:szCs w:val="24"/>
        </w:rPr>
        <w:t xml:space="preserve"> Southwest Colorado)</w:t>
      </w:r>
      <w:r w:rsidRPr="00631225" w:rsidR="0071442D">
        <w:rPr>
          <w:rFonts w:cs="Times New Roman"/>
          <w:szCs w:val="24"/>
        </w:rPr>
        <w:t xml:space="preserve"> basis</w:t>
      </w:r>
      <w:r w:rsidRPr="00631225" w:rsidR="00C9649D">
        <w:rPr>
          <w:rFonts w:cs="Times New Roman"/>
          <w:szCs w:val="24"/>
        </w:rPr>
        <w:t>.</w:t>
      </w:r>
      <w:r w:rsidR="00FF0838">
        <w:rPr>
          <w:rFonts w:cs="Times New Roman"/>
          <w:szCs w:val="24"/>
        </w:rPr>
        <w:t xml:space="preserve"> </w:t>
      </w:r>
      <w:r w:rsidR="002C4F02">
        <w:rPr>
          <w:rFonts w:cs="Times New Roman"/>
          <w:szCs w:val="24"/>
        </w:rPr>
        <w:t xml:space="preserve"> </w:t>
      </w:r>
      <w:r w:rsidRPr="00631225" w:rsidR="00BC28E9">
        <w:rPr>
          <w:rFonts w:cs="Times New Roman"/>
          <w:szCs w:val="24"/>
        </w:rPr>
        <w:t>As the custodian for management of wildlife in Colorado, CPW has a</w:t>
      </w:r>
      <w:r w:rsidRPr="00631225" w:rsidR="00301343">
        <w:rPr>
          <w:rFonts w:cs="Times New Roman"/>
          <w:szCs w:val="24"/>
        </w:rPr>
        <w:t>lready accomplished comprehensive mapping and data collection on wildlife in the state</w:t>
      </w:r>
      <w:r w:rsidRPr="00631225" w:rsidR="00003371">
        <w:rPr>
          <w:rFonts w:cs="Times New Roman"/>
          <w:szCs w:val="24"/>
        </w:rPr>
        <w:t xml:space="preserve"> </w:t>
      </w:r>
      <w:r w:rsidRPr="00631225" w:rsidR="00301343">
        <w:rPr>
          <w:rFonts w:cs="Times New Roman"/>
          <w:szCs w:val="24"/>
        </w:rPr>
        <w:t xml:space="preserve">and </w:t>
      </w:r>
      <w:r w:rsidRPr="00631225" w:rsidR="00266C81">
        <w:rPr>
          <w:rFonts w:cs="Times New Roman"/>
          <w:szCs w:val="24"/>
        </w:rPr>
        <w:t>has over time improved the accuracy and comprehensiveness of its data</w:t>
      </w:r>
      <w:r w:rsidRPr="00631225" w:rsidR="00301343">
        <w:rPr>
          <w:rFonts w:cs="Times New Roman"/>
          <w:szCs w:val="24"/>
        </w:rPr>
        <w:t xml:space="preserve">. </w:t>
      </w:r>
      <w:r w:rsidRPr="00631225" w:rsidR="00266C81">
        <w:rPr>
          <w:rFonts w:cs="Times New Roman"/>
          <w:szCs w:val="24"/>
        </w:rPr>
        <w:t xml:space="preserve"> As </w:t>
      </w:r>
      <w:r w:rsidRPr="00631225" w:rsidR="00D475FD">
        <w:rPr>
          <w:rFonts w:cs="Times New Roman"/>
          <w:szCs w:val="24"/>
        </w:rPr>
        <w:t xml:space="preserve">CPW’s </w:t>
      </w:r>
      <w:r w:rsidRPr="00631225" w:rsidR="00D475FD">
        <w:rPr>
          <w:rFonts w:cs="Times New Roman"/>
          <w:i/>
          <w:iCs/>
          <w:szCs w:val="24"/>
        </w:rPr>
        <w:t xml:space="preserve">2020 Status Report: Big Game Winter Range and Migration Corridors </w:t>
      </w:r>
      <w:r w:rsidRPr="00631225" w:rsidR="00D475FD">
        <w:rPr>
          <w:rFonts w:cs="Times New Roman"/>
          <w:szCs w:val="24"/>
        </w:rPr>
        <w:t>(“</w:t>
      </w:r>
      <w:r w:rsidRPr="00631225" w:rsidR="00266C81">
        <w:rPr>
          <w:rFonts w:cs="Times New Roman"/>
          <w:szCs w:val="24"/>
        </w:rPr>
        <w:t>2020 CPW Report</w:t>
      </w:r>
      <w:r w:rsidRPr="00631225" w:rsidR="00D475FD">
        <w:rPr>
          <w:rFonts w:cs="Times New Roman"/>
          <w:szCs w:val="24"/>
        </w:rPr>
        <w:t>”)</w:t>
      </w:r>
      <w:r w:rsidRPr="00631225" w:rsidR="00266C81">
        <w:rPr>
          <w:rFonts w:cs="Times New Roman"/>
          <w:szCs w:val="24"/>
        </w:rPr>
        <w:t xml:space="preserve"> </w:t>
      </w:r>
      <w:r w:rsidRPr="00631225" w:rsidR="00FF0482">
        <w:rPr>
          <w:rFonts w:cs="Times New Roman"/>
          <w:szCs w:val="24"/>
        </w:rPr>
        <w:t>states</w:t>
      </w:r>
      <w:r w:rsidRPr="00631225" w:rsidR="00266C81">
        <w:rPr>
          <w:rFonts w:cs="Times New Roman"/>
          <w:szCs w:val="24"/>
        </w:rPr>
        <w:t>:</w:t>
      </w:r>
      <w:r w:rsidRPr="00631225" w:rsidR="00301343">
        <w:rPr>
          <w:rFonts w:cs="Times New Roman"/>
          <w:szCs w:val="24"/>
        </w:rPr>
        <w:t xml:space="preserve"> </w:t>
      </w:r>
      <w:r w:rsidRPr="00631225" w:rsidR="00266C81">
        <w:rPr>
          <w:rFonts w:cs="Times New Roman"/>
          <w:szCs w:val="24"/>
        </w:rPr>
        <w:t xml:space="preserve">“In 2002, the method for data capture was updated in an effort to make the process more inclusive and accurate. . . .  With guidance from CPW GIS specialists, data is digitized directly by field personnel using a SMART Board (interactive whiteboard) and ESRI’s ArcMap program. CPW personnel are able to update seasonal habitat use maps for each species by viewing the existing GIS data and making edits based on field experience, observations and knowledge of animal movements and locations. </w:t>
      </w:r>
      <w:r w:rsidR="00FF0838">
        <w:rPr>
          <w:rFonts w:cs="Times New Roman"/>
          <w:szCs w:val="24"/>
        </w:rPr>
        <w:t xml:space="preserve"> </w:t>
      </w:r>
      <w:r w:rsidRPr="00631225" w:rsidR="00266C81">
        <w:rPr>
          <w:rFonts w:cs="Times New Roman"/>
          <w:szCs w:val="24"/>
        </w:rPr>
        <w:t>The decades of expert, on-the-ground knowledge contributed by CPW field personnel is invaluable. This institutional knowledge is augmented with other data such as annual winter classification flight data locations and radio/GPS collar data from various studies. Collar data is displayed with the current mapped seasonal ranges to verify, edit and update the SAM maps.”</w:t>
      </w:r>
      <w:r w:rsidRPr="00631225" w:rsidR="002D1BDB">
        <w:rPr>
          <w:rFonts w:cs="Times New Roman"/>
          <w:szCs w:val="24"/>
        </w:rPr>
        <w:t xml:space="preserve"> </w:t>
      </w:r>
      <w:r w:rsidR="00FF0838">
        <w:rPr>
          <w:rFonts w:cs="Times New Roman"/>
          <w:szCs w:val="24"/>
        </w:rPr>
        <w:t xml:space="preserve"> </w:t>
      </w:r>
      <w:r w:rsidRPr="00631225" w:rsidR="002D1BDB">
        <w:rPr>
          <w:rFonts w:cs="Times New Roman"/>
          <w:i/>
          <w:iCs/>
          <w:szCs w:val="24"/>
        </w:rPr>
        <w:t>See</w:t>
      </w:r>
      <w:r w:rsidRPr="00631225" w:rsidR="002D1BDB">
        <w:rPr>
          <w:rFonts w:cs="Times New Roman"/>
          <w:szCs w:val="24"/>
        </w:rPr>
        <w:t xml:space="preserve"> </w:t>
      </w:r>
      <w:r w:rsidRPr="00631225" w:rsidR="006C3050">
        <w:rPr>
          <w:rFonts w:cs="Times New Roman"/>
          <w:szCs w:val="24"/>
        </w:rPr>
        <w:t>2020 Status Report</w:t>
      </w:r>
      <w:r w:rsidRPr="00631225" w:rsidR="002D1BDB">
        <w:rPr>
          <w:rFonts w:cs="Times New Roman"/>
          <w:szCs w:val="24"/>
        </w:rPr>
        <w:t xml:space="preserve"> at 17. </w:t>
      </w:r>
    </w:p>
    <w:p w:rsidR="00A14E8D" w:rsidP="00FF0482" w:rsidRDefault="009C4280" w14:paraId="1B5D3B1F" w14:textId="02CC9B46">
      <w:pPr>
        <w:spacing w:line="480" w:lineRule="auto"/>
        <w:ind w:firstLine="720"/>
        <w:rPr>
          <w:rFonts w:cs="Times New Roman"/>
          <w:szCs w:val="24"/>
        </w:rPr>
      </w:pPr>
      <w:r w:rsidRPr="00631225">
        <w:rPr>
          <w:rFonts w:cs="Times New Roman"/>
          <w:szCs w:val="24"/>
        </w:rPr>
        <w:t>The state agencies’</w:t>
      </w:r>
      <w:r w:rsidRPr="00631225" w:rsidR="00301343">
        <w:rPr>
          <w:rFonts w:cs="Times New Roman"/>
          <w:szCs w:val="24"/>
        </w:rPr>
        <w:t xml:space="preserve"> </w:t>
      </w:r>
      <w:r w:rsidR="002C4F02">
        <w:rPr>
          <w:rFonts w:cs="Times New Roman"/>
          <w:szCs w:val="24"/>
        </w:rPr>
        <w:t xml:space="preserve">legal requirement to update maps annually and </w:t>
      </w:r>
      <w:r w:rsidRPr="00631225" w:rsidR="00301343">
        <w:rPr>
          <w:rFonts w:cs="Times New Roman"/>
          <w:szCs w:val="24"/>
        </w:rPr>
        <w:t>ability</w:t>
      </w:r>
      <w:r w:rsidRPr="00631225" w:rsidR="00301343">
        <w:rPr>
          <w:rFonts w:cs="Times New Roman"/>
          <w:szCs w:val="24"/>
        </w:rPr>
        <w:t xml:space="preserve"> </w:t>
      </w:r>
      <w:r w:rsidRPr="00631225">
        <w:rPr>
          <w:rFonts w:cs="Times New Roman"/>
          <w:szCs w:val="24"/>
        </w:rPr>
        <w:t xml:space="preserve">quickly </w:t>
      </w:r>
      <w:r w:rsidRPr="00631225" w:rsidR="00301343">
        <w:rPr>
          <w:rFonts w:cs="Times New Roman"/>
          <w:szCs w:val="24"/>
        </w:rPr>
        <w:t>to</w:t>
      </w:r>
      <w:r w:rsidRPr="00631225" w:rsidR="00301343">
        <w:rPr>
          <w:rFonts w:cs="Times New Roman"/>
          <w:szCs w:val="24"/>
        </w:rPr>
        <w:t xml:space="preserve"> respond to changing conditions in Colorado is of increasing importance given the dynamic nature of wildlife mapping due to</w:t>
      </w:r>
      <w:r w:rsidRPr="00631225" w:rsidR="00813CE2">
        <w:rPr>
          <w:rFonts w:cs="Times New Roman"/>
          <w:szCs w:val="24"/>
        </w:rPr>
        <w:t>, among other things,</w:t>
      </w:r>
      <w:r w:rsidRPr="00631225" w:rsidR="00301343">
        <w:rPr>
          <w:rFonts w:cs="Times New Roman"/>
          <w:szCs w:val="24"/>
        </w:rPr>
        <w:t xml:space="preserve"> climate change</w:t>
      </w:r>
      <w:r w:rsidRPr="00631225" w:rsidR="00003371">
        <w:rPr>
          <w:rFonts w:cs="Times New Roman"/>
          <w:szCs w:val="24"/>
        </w:rPr>
        <w:t xml:space="preserve"> (with the resulting changes in temperature and precipitation in summer and winter ranges)</w:t>
      </w:r>
      <w:r w:rsidRPr="00631225" w:rsidR="00301343">
        <w:rPr>
          <w:rFonts w:cs="Times New Roman"/>
          <w:szCs w:val="24"/>
        </w:rPr>
        <w:t>,</w:t>
      </w:r>
      <w:r w:rsidRPr="00631225" w:rsidR="00003371">
        <w:rPr>
          <w:rFonts w:cs="Times New Roman"/>
          <w:szCs w:val="24"/>
        </w:rPr>
        <w:t xml:space="preserve"> increased wildfire activity,</w:t>
      </w:r>
      <w:r w:rsidRPr="00631225" w:rsidR="00301343">
        <w:rPr>
          <w:rFonts w:cs="Times New Roman"/>
          <w:szCs w:val="24"/>
        </w:rPr>
        <w:t xml:space="preserve"> the increasing use of wildlife </w:t>
      </w:r>
      <w:r w:rsidRPr="00631225" w:rsidR="00747EBF">
        <w:rPr>
          <w:rFonts w:cs="Times New Roman"/>
          <w:szCs w:val="24"/>
        </w:rPr>
        <w:t xml:space="preserve">habitat </w:t>
      </w:r>
      <w:r w:rsidRPr="00631225" w:rsidR="00301343">
        <w:rPr>
          <w:rFonts w:cs="Times New Roman"/>
          <w:szCs w:val="24"/>
        </w:rPr>
        <w:t>areas for recreational activity</w:t>
      </w:r>
      <w:r w:rsidRPr="00631225" w:rsidR="00813CE2">
        <w:rPr>
          <w:rFonts w:cs="Times New Roman"/>
          <w:szCs w:val="24"/>
        </w:rPr>
        <w:t xml:space="preserve"> and other uses</w:t>
      </w:r>
      <w:r w:rsidRPr="00631225" w:rsidR="00A14E8D">
        <w:rPr>
          <w:rFonts w:cs="Times New Roman"/>
          <w:szCs w:val="24"/>
        </w:rPr>
        <w:t>, and the reintroduction of wolves in certain parts of the state.  Indeed, wolves will not be reintroduced to Colorado until late 2023—halfway through this amendment process</w:t>
      </w:r>
      <w:r w:rsidR="009A4F33">
        <w:rPr>
          <w:rFonts w:cs="Times New Roman"/>
          <w:szCs w:val="24"/>
        </w:rPr>
        <w:t>.  But</w:t>
      </w:r>
      <w:r w:rsidRPr="00631225" w:rsidR="00A4602B">
        <w:rPr>
          <w:rFonts w:cs="Times New Roman"/>
          <w:szCs w:val="24"/>
        </w:rPr>
        <w:t xml:space="preserve"> </w:t>
      </w:r>
      <w:r w:rsidRPr="00631225" w:rsidR="00A14E8D">
        <w:rPr>
          <w:rFonts w:cs="Times New Roman"/>
          <w:szCs w:val="24"/>
        </w:rPr>
        <w:t>changes</w:t>
      </w:r>
      <w:r w:rsidRPr="00631225" w:rsidR="00A4602B">
        <w:rPr>
          <w:rFonts w:cs="Times New Roman"/>
          <w:szCs w:val="24"/>
        </w:rPr>
        <w:t xml:space="preserve"> due to wolf reintroduction</w:t>
      </w:r>
      <w:r w:rsidRPr="00631225" w:rsidR="00A14E8D">
        <w:rPr>
          <w:rFonts w:cs="Times New Roman"/>
          <w:szCs w:val="24"/>
        </w:rPr>
        <w:t xml:space="preserve"> </w:t>
      </w:r>
      <w:r w:rsidR="009A4F33">
        <w:rPr>
          <w:rFonts w:cs="Times New Roman"/>
          <w:szCs w:val="24"/>
        </w:rPr>
        <w:t xml:space="preserve">are important because they are anticipated to be </w:t>
      </w:r>
      <w:r w:rsidRPr="00631225" w:rsidR="00A14E8D">
        <w:rPr>
          <w:rFonts w:cs="Times New Roman"/>
          <w:szCs w:val="24"/>
        </w:rPr>
        <w:t xml:space="preserve">particularly acute for the elk and mule deer populations, which can be expected to decline due to wolf predation and </w:t>
      </w:r>
      <w:r w:rsidRPr="00631225" w:rsidR="006C79C8">
        <w:rPr>
          <w:rFonts w:cs="Times New Roman"/>
          <w:szCs w:val="24"/>
        </w:rPr>
        <w:t xml:space="preserve">changing of </w:t>
      </w:r>
      <w:r w:rsidRPr="00631225" w:rsidR="00A14E8D">
        <w:rPr>
          <w:rFonts w:cs="Times New Roman"/>
          <w:szCs w:val="24"/>
        </w:rPr>
        <w:t>habitat to avoid predati</w:t>
      </w:r>
      <w:r w:rsidRPr="00631225" w:rsidR="006C79C8">
        <w:rPr>
          <w:rFonts w:cs="Times New Roman"/>
          <w:szCs w:val="24"/>
        </w:rPr>
        <w:t>on</w:t>
      </w:r>
      <w:r w:rsidRPr="00631225" w:rsidR="00631225">
        <w:rPr>
          <w:rFonts w:cs="Times New Roman"/>
          <w:szCs w:val="24"/>
        </w:rPr>
        <w:t xml:space="preserve"> </w:t>
      </w:r>
      <w:r w:rsidRPr="00631225" w:rsidR="00A14E8D">
        <w:rPr>
          <w:rFonts w:cs="Times New Roman"/>
          <w:szCs w:val="24"/>
        </w:rPr>
        <w:t xml:space="preserve">(Ripple and Beschta 2004; Mao et al. 2005; Evans et al. 2006 Christianson and Creel 2014; Boyce 2018). </w:t>
      </w:r>
      <w:r w:rsidR="00FF0838">
        <w:rPr>
          <w:rFonts w:cs="Times New Roman"/>
          <w:szCs w:val="24"/>
        </w:rPr>
        <w:t xml:space="preserve"> </w:t>
      </w:r>
      <w:r w:rsidRPr="00631225" w:rsidR="00A14E8D">
        <w:rPr>
          <w:rFonts w:cs="Times New Roman"/>
          <w:szCs w:val="24"/>
        </w:rPr>
        <w:t xml:space="preserve">Also complicating the situation is the demographic influence of hunting, with hunters selectively harvesting female elk with the highest reproductive potential, which compounds the negative demographic impact of wolf predation (Wright et al. 2006).  </w:t>
      </w:r>
    </w:p>
    <w:p w:rsidRPr="00631225" w:rsidR="00E340F7" w:rsidP="00FF0482" w:rsidRDefault="006C79C8" w14:paraId="62B1D06D" w14:textId="7E6D7C75">
      <w:pPr>
        <w:spacing w:line="480" w:lineRule="auto"/>
        <w:ind w:firstLine="720"/>
        <w:rPr>
          <w:rFonts w:cs="Times New Roman"/>
          <w:szCs w:val="24"/>
        </w:rPr>
      </w:pPr>
      <w:r w:rsidRPr="00631225">
        <w:rPr>
          <w:rFonts w:cs="Times New Roman"/>
          <w:szCs w:val="24"/>
        </w:rPr>
        <w:t xml:space="preserve">In sum, </w:t>
      </w:r>
      <w:r w:rsidRPr="00631225" w:rsidR="00301343">
        <w:rPr>
          <w:rFonts w:cs="Times New Roman"/>
          <w:szCs w:val="24"/>
        </w:rPr>
        <w:t xml:space="preserve">BLM simply does not </w:t>
      </w:r>
      <w:r w:rsidR="00E82998">
        <w:rPr>
          <w:rFonts w:cs="Times New Roman"/>
          <w:szCs w:val="24"/>
        </w:rPr>
        <w:t xml:space="preserve">currently </w:t>
      </w:r>
      <w:r w:rsidRPr="00631225" w:rsidR="00301343">
        <w:rPr>
          <w:rFonts w:cs="Times New Roman"/>
          <w:szCs w:val="24"/>
        </w:rPr>
        <w:t>have the capacity to respond to these</w:t>
      </w:r>
      <w:r w:rsidRPr="00631225" w:rsidR="00A14E8D">
        <w:rPr>
          <w:rFonts w:cs="Times New Roman"/>
          <w:szCs w:val="24"/>
        </w:rPr>
        <w:t xml:space="preserve"> dynamic issues that will make its amendment soon obsolete</w:t>
      </w:r>
      <w:r w:rsidRPr="00631225" w:rsidR="00301343">
        <w:rPr>
          <w:rFonts w:cs="Times New Roman"/>
          <w:szCs w:val="24"/>
        </w:rPr>
        <w:t>.</w:t>
      </w:r>
      <w:r w:rsidRPr="00631225" w:rsidR="00301343">
        <w:rPr>
          <w:rStyle w:val="FootnoteReference"/>
          <w:rFonts w:cs="Times New Roman"/>
          <w:szCs w:val="24"/>
        </w:rPr>
        <w:footnoteReference w:id="2"/>
      </w:r>
      <w:r w:rsidRPr="00631225" w:rsidR="00301343">
        <w:rPr>
          <w:rFonts w:cs="Times New Roman"/>
          <w:szCs w:val="24"/>
        </w:rPr>
        <w:t xml:space="preserve">  </w:t>
      </w:r>
      <w:r w:rsidR="009A4F33">
        <w:rPr>
          <w:rFonts w:cs="Times New Roman"/>
          <w:szCs w:val="24"/>
        </w:rPr>
        <w:t xml:space="preserve">By contrast, </w:t>
      </w:r>
      <w:r w:rsidRPr="009A4F33" w:rsidR="009A4F33">
        <w:rPr>
          <w:rFonts w:cs="Times New Roman"/>
          <w:szCs w:val="24"/>
        </w:rPr>
        <w:t xml:space="preserve">state agencies are able to adaptively manage </w:t>
      </w:r>
      <w:r w:rsidR="009A4F33">
        <w:rPr>
          <w:rFonts w:cs="Times New Roman"/>
          <w:szCs w:val="24"/>
        </w:rPr>
        <w:t xml:space="preserve">big </w:t>
      </w:r>
      <w:r w:rsidRPr="009A4F33" w:rsidR="009A4F33">
        <w:rPr>
          <w:rFonts w:cs="Times New Roman"/>
          <w:szCs w:val="24"/>
        </w:rPr>
        <w:t>game</w:t>
      </w:r>
      <w:r w:rsidR="009A4F33">
        <w:rPr>
          <w:rFonts w:cs="Times New Roman"/>
          <w:szCs w:val="24"/>
        </w:rPr>
        <w:t xml:space="preserve"> and thus we </w:t>
      </w:r>
      <w:r w:rsidRPr="009A4F33" w:rsidR="009A4F33">
        <w:rPr>
          <w:rFonts w:cs="Times New Roman"/>
          <w:szCs w:val="24"/>
        </w:rPr>
        <w:t>strongly encourage BLM to defer to Colorado rules and agencies</w:t>
      </w:r>
      <w:r w:rsidR="009A4F33">
        <w:rPr>
          <w:rFonts w:cs="Times New Roman"/>
          <w:szCs w:val="24"/>
        </w:rPr>
        <w:t>.</w:t>
      </w:r>
    </w:p>
    <w:p w:rsidRPr="00631225" w:rsidR="00A9513D" w:rsidP="00FD1762" w:rsidRDefault="00616B2C" w14:paraId="5A95E054" w14:textId="77777777">
      <w:pPr>
        <w:pStyle w:val="ListParagraph"/>
        <w:numPr>
          <w:ilvl w:val="0"/>
          <w:numId w:val="19"/>
        </w:numPr>
        <w:rPr>
          <w:rFonts w:cs="Times New Roman"/>
          <w:b/>
          <w:bCs/>
          <w:szCs w:val="24"/>
        </w:rPr>
      </w:pPr>
      <w:r w:rsidRPr="00631225">
        <w:rPr>
          <w:rFonts w:cs="Times New Roman"/>
          <w:b/>
          <w:bCs/>
          <w:szCs w:val="24"/>
        </w:rPr>
        <w:t>The Amendment</w:t>
      </w:r>
      <w:r w:rsidRPr="00631225" w:rsidR="00A9513D">
        <w:rPr>
          <w:rFonts w:cs="Times New Roman"/>
          <w:b/>
          <w:bCs/>
          <w:szCs w:val="24"/>
        </w:rPr>
        <w:t xml:space="preserve"> </w:t>
      </w:r>
      <w:r w:rsidRPr="00631225" w:rsidR="00344798">
        <w:rPr>
          <w:rFonts w:cs="Times New Roman"/>
          <w:b/>
          <w:bCs/>
          <w:szCs w:val="24"/>
        </w:rPr>
        <w:t xml:space="preserve">Should </w:t>
      </w:r>
      <w:r w:rsidRPr="00631225" w:rsidR="00B22FF0">
        <w:rPr>
          <w:rFonts w:cs="Times New Roman"/>
          <w:b/>
          <w:bCs/>
          <w:szCs w:val="24"/>
        </w:rPr>
        <w:t>Not Expand</w:t>
      </w:r>
      <w:r w:rsidRPr="00631225" w:rsidR="00344798">
        <w:rPr>
          <w:rFonts w:cs="Times New Roman"/>
          <w:b/>
          <w:bCs/>
          <w:szCs w:val="24"/>
        </w:rPr>
        <w:t xml:space="preserve"> </w:t>
      </w:r>
      <w:r w:rsidRPr="00631225" w:rsidR="006C3050">
        <w:rPr>
          <w:rFonts w:cs="Times New Roman"/>
          <w:b/>
          <w:bCs/>
          <w:szCs w:val="24"/>
        </w:rPr>
        <w:t xml:space="preserve">the Scope of this Amendment Process. </w:t>
      </w:r>
    </w:p>
    <w:p w:rsidRPr="00631225" w:rsidR="00FF002F" w:rsidP="00FF002F" w:rsidRDefault="00FF002F" w14:paraId="42CBE496" w14:textId="2C652F8B">
      <w:pPr>
        <w:rPr>
          <w:rFonts w:cs="Times New Roman"/>
          <w:szCs w:val="24"/>
        </w:rPr>
      </w:pPr>
    </w:p>
    <w:p w:rsidRPr="00631225" w:rsidR="00251F51" w:rsidP="00726D8E" w:rsidRDefault="00FF002F" w14:paraId="230D21D1" w14:textId="40DDA0E4">
      <w:pPr>
        <w:spacing w:line="480" w:lineRule="auto"/>
        <w:rPr>
          <w:rFonts w:cs="Times New Roman"/>
          <w:szCs w:val="24"/>
        </w:rPr>
      </w:pPr>
      <w:r w:rsidRPr="00631225">
        <w:rPr>
          <w:rFonts w:cs="Times New Roman"/>
          <w:szCs w:val="24"/>
        </w:rPr>
        <w:tab/>
      </w:r>
      <w:r w:rsidRPr="00631225" w:rsidR="00344798">
        <w:rPr>
          <w:rFonts w:cs="Times New Roman"/>
          <w:szCs w:val="24"/>
        </w:rPr>
        <w:t xml:space="preserve">This amendment </w:t>
      </w:r>
      <w:r w:rsidRPr="00631225" w:rsidR="006C5B19">
        <w:rPr>
          <w:rFonts w:cs="Times New Roman"/>
          <w:szCs w:val="24"/>
        </w:rPr>
        <w:t xml:space="preserve">and EIS process </w:t>
      </w:r>
      <w:r w:rsidRPr="00631225" w:rsidR="00344798">
        <w:rPr>
          <w:rFonts w:cs="Times New Roman"/>
          <w:szCs w:val="24"/>
        </w:rPr>
        <w:t>must conclude in two years pursuant to the settlement agreement in</w:t>
      </w:r>
      <w:r w:rsidRPr="00631225" w:rsidR="00344798">
        <w:rPr>
          <w:rFonts w:cs="Times New Roman"/>
          <w:b/>
          <w:bCs/>
          <w:i/>
          <w:iCs/>
          <w:szCs w:val="24"/>
        </w:rPr>
        <w:t xml:space="preserve"> </w:t>
      </w:r>
      <w:r w:rsidRPr="00631225" w:rsidR="00344798">
        <w:rPr>
          <w:rFonts w:cs="Times New Roman"/>
          <w:i/>
          <w:iCs/>
          <w:szCs w:val="24"/>
        </w:rPr>
        <w:t>State of Colorado v. Bureau of Land Management</w:t>
      </w:r>
      <w:r w:rsidRPr="00631225" w:rsidR="00344798">
        <w:rPr>
          <w:rFonts w:cs="Times New Roman"/>
          <w:szCs w:val="24"/>
        </w:rPr>
        <w:t xml:space="preserve">, 1:21-cv-00129 (D. Colo.). </w:t>
      </w:r>
      <w:r w:rsidRPr="00631225" w:rsidR="00251F51">
        <w:rPr>
          <w:rFonts w:cs="Times New Roman"/>
          <w:szCs w:val="24"/>
        </w:rPr>
        <w:t xml:space="preserve"> </w:t>
      </w:r>
      <w:r w:rsidRPr="00631225" w:rsidR="00344798">
        <w:rPr>
          <w:rFonts w:cs="Times New Roman"/>
          <w:szCs w:val="24"/>
        </w:rPr>
        <w:t xml:space="preserve">The Notice of Intent </w:t>
      </w:r>
      <w:r w:rsidRPr="00631225" w:rsidR="00813CE2">
        <w:rPr>
          <w:rFonts w:cs="Times New Roman"/>
          <w:szCs w:val="24"/>
        </w:rPr>
        <w:t>refers to</w:t>
      </w:r>
      <w:r w:rsidRPr="00631225" w:rsidR="00344798">
        <w:rPr>
          <w:rFonts w:cs="Times New Roman"/>
          <w:szCs w:val="24"/>
        </w:rPr>
        <w:t xml:space="preserve"> th</w:t>
      </w:r>
      <w:r w:rsidRPr="00631225" w:rsidR="00A4602B">
        <w:rPr>
          <w:rFonts w:cs="Times New Roman"/>
          <w:szCs w:val="24"/>
        </w:rPr>
        <w:t>e</w:t>
      </w:r>
      <w:r w:rsidRPr="00631225" w:rsidR="00726D8E">
        <w:rPr>
          <w:rFonts w:cs="Times New Roman"/>
          <w:szCs w:val="24"/>
        </w:rPr>
        <w:t xml:space="preserve"> big game species </w:t>
      </w:r>
      <w:r w:rsidRPr="00631225" w:rsidR="00A4602B">
        <w:rPr>
          <w:rFonts w:cs="Times New Roman"/>
          <w:szCs w:val="24"/>
        </w:rPr>
        <w:t xml:space="preserve">listed </w:t>
      </w:r>
      <w:r w:rsidRPr="00631225" w:rsidR="00726D8E">
        <w:rPr>
          <w:rFonts w:cs="Times New Roman"/>
          <w:szCs w:val="24"/>
        </w:rPr>
        <w:t>in Secretarial Order 3362</w:t>
      </w:r>
      <w:r w:rsidRPr="00631225" w:rsidR="00813CE2">
        <w:rPr>
          <w:rFonts w:cs="Times New Roman"/>
          <w:szCs w:val="24"/>
        </w:rPr>
        <w:t>—</w:t>
      </w:r>
      <w:r w:rsidRPr="00631225" w:rsidR="00344798">
        <w:rPr>
          <w:rFonts w:cs="Times New Roman"/>
          <w:szCs w:val="24"/>
        </w:rPr>
        <w:t>s</w:t>
      </w:r>
      <w:r w:rsidRPr="00631225" w:rsidR="00726D8E">
        <w:rPr>
          <w:rFonts w:cs="Times New Roman"/>
          <w:szCs w:val="24"/>
        </w:rPr>
        <w:t>pecifically elk, mule deer, and pronghorn</w:t>
      </w:r>
      <w:r w:rsidRPr="00631225" w:rsidR="00344798">
        <w:rPr>
          <w:rFonts w:cs="Times New Roman"/>
          <w:szCs w:val="24"/>
        </w:rPr>
        <w:t xml:space="preserve">.  </w:t>
      </w:r>
      <w:r w:rsidRPr="00631225" w:rsidR="00251F51">
        <w:rPr>
          <w:rFonts w:cs="Times New Roman"/>
          <w:i/>
          <w:iCs/>
          <w:szCs w:val="24"/>
        </w:rPr>
        <w:t xml:space="preserve">See </w:t>
      </w:r>
      <w:r w:rsidRPr="00631225" w:rsidR="00251F51">
        <w:rPr>
          <w:rFonts w:cs="Times New Roman"/>
          <w:szCs w:val="24"/>
        </w:rPr>
        <w:t xml:space="preserve">Secretarial Order at 2 (“The overarching purpose of the Order is for the Department and its respective bureaus to develop collaborative partnerships with [Western] states to enhance and improve the quality of Rocky Mountain elk (elk), mule deer </w:t>
      </w:r>
      <w:r w:rsidR="00E82998">
        <w:rPr>
          <w:rFonts w:cs="Times New Roman"/>
          <w:szCs w:val="24"/>
        </w:rPr>
        <w:t>(</w:t>
      </w:r>
      <w:r w:rsidRPr="00631225" w:rsidR="00251F51">
        <w:rPr>
          <w:rFonts w:cs="Times New Roman"/>
          <w:szCs w:val="24"/>
        </w:rPr>
        <w:t xml:space="preserve">deer), and pronghorn antelope (pronghorn) winter range and migration corridor habitat.”).  </w:t>
      </w:r>
    </w:p>
    <w:p w:rsidRPr="00631225" w:rsidR="00FF002F" w:rsidP="00251F51" w:rsidRDefault="00251F51" w14:paraId="49D701CD" w14:textId="117229EA">
      <w:pPr>
        <w:spacing w:line="480" w:lineRule="auto"/>
        <w:ind w:firstLine="720"/>
        <w:rPr>
          <w:rFonts w:cs="Times New Roman"/>
          <w:szCs w:val="24"/>
        </w:rPr>
      </w:pPr>
      <w:r w:rsidRPr="00631225">
        <w:rPr>
          <w:rFonts w:cs="Times New Roman"/>
          <w:szCs w:val="24"/>
        </w:rPr>
        <w:t>Some commentors propose that the rulemaking cover other species</w:t>
      </w:r>
      <w:r w:rsidRPr="00631225" w:rsidR="00813CE2">
        <w:rPr>
          <w:rFonts w:cs="Times New Roman"/>
          <w:szCs w:val="24"/>
        </w:rPr>
        <w:t xml:space="preserve"> beyond those listed in the Notice of Intent</w:t>
      </w:r>
      <w:r w:rsidRPr="00631225">
        <w:rPr>
          <w:rFonts w:cs="Times New Roman"/>
          <w:szCs w:val="24"/>
        </w:rPr>
        <w:t xml:space="preserve">.  But </w:t>
      </w:r>
      <w:r w:rsidRPr="00631225" w:rsidR="00674E50">
        <w:rPr>
          <w:rFonts w:cs="Times New Roman"/>
          <w:szCs w:val="24"/>
        </w:rPr>
        <w:t>consideration of other species strays from the</w:t>
      </w:r>
      <w:r w:rsidRPr="00631225">
        <w:rPr>
          <w:rFonts w:cs="Times New Roman"/>
          <w:szCs w:val="24"/>
        </w:rPr>
        <w:t xml:space="preserve"> Secretarial Order giving rise to this </w:t>
      </w:r>
      <w:r w:rsidRPr="00631225" w:rsidR="00674E50">
        <w:rPr>
          <w:rFonts w:cs="Times New Roman"/>
          <w:szCs w:val="24"/>
        </w:rPr>
        <w:t>amendment process</w:t>
      </w:r>
      <w:r w:rsidRPr="00631225" w:rsidR="009C4280">
        <w:rPr>
          <w:rFonts w:cs="Times New Roman"/>
          <w:szCs w:val="24"/>
        </w:rPr>
        <w:t>,</w:t>
      </w:r>
      <w:r w:rsidRPr="00631225">
        <w:rPr>
          <w:rFonts w:cs="Times New Roman"/>
          <w:szCs w:val="24"/>
        </w:rPr>
        <w:t xml:space="preserve"> as well as the Notice of Intent</w:t>
      </w:r>
      <w:r w:rsidRPr="00631225" w:rsidR="00674E50">
        <w:rPr>
          <w:rFonts w:cs="Times New Roman"/>
          <w:szCs w:val="24"/>
        </w:rPr>
        <w:t>’s focus</w:t>
      </w:r>
      <w:r w:rsidRPr="00631225">
        <w:rPr>
          <w:rFonts w:cs="Times New Roman"/>
          <w:szCs w:val="24"/>
        </w:rPr>
        <w:t xml:space="preserve">.  </w:t>
      </w:r>
      <w:r w:rsidRPr="00631225" w:rsidR="006C3050">
        <w:rPr>
          <w:rFonts w:cs="Times New Roman"/>
          <w:szCs w:val="24"/>
        </w:rPr>
        <w:t>Adding</w:t>
      </w:r>
      <w:r w:rsidRPr="00631225">
        <w:rPr>
          <w:rFonts w:cs="Times New Roman"/>
          <w:szCs w:val="24"/>
        </w:rPr>
        <w:t xml:space="preserve"> new species to the </w:t>
      </w:r>
      <w:r w:rsidRPr="00631225" w:rsidR="00074EF4">
        <w:rPr>
          <w:rFonts w:cs="Times New Roman"/>
          <w:szCs w:val="24"/>
        </w:rPr>
        <w:t>amendment process</w:t>
      </w:r>
      <w:r w:rsidRPr="00631225">
        <w:rPr>
          <w:rFonts w:cs="Times New Roman"/>
          <w:szCs w:val="24"/>
        </w:rPr>
        <w:t xml:space="preserve"> </w:t>
      </w:r>
      <w:r w:rsidRPr="00631225" w:rsidR="00344798">
        <w:rPr>
          <w:rFonts w:cs="Times New Roman"/>
          <w:szCs w:val="24"/>
        </w:rPr>
        <w:t xml:space="preserve">would </w:t>
      </w:r>
      <w:r w:rsidRPr="00631225" w:rsidR="006C3050">
        <w:rPr>
          <w:rFonts w:cs="Times New Roman"/>
          <w:szCs w:val="24"/>
        </w:rPr>
        <w:t xml:space="preserve">also </w:t>
      </w:r>
      <w:r w:rsidRPr="00631225" w:rsidR="00344798">
        <w:rPr>
          <w:rFonts w:cs="Times New Roman"/>
          <w:szCs w:val="24"/>
        </w:rPr>
        <w:t xml:space="preserve">make the </w:t>
      </w:r>
      <w:r w:rsidRPr="00631225" w:rsidR="00616B83">
        <w:rPr>
          <w:rFonts w:cs="Times New Roman"/>
          <w:szCs w:val="24"/>
        </w:rPr>
        <w:t>already tight two</w:t>
      </w:r>
      <w:r w:rsidRPr="00631225" w:rsidR="00344798">
        <w:rPr>
          <w:rFonts w:cs="Times New Roman"/>
          <w:szCs w:val="24"/>
        </w:rPr>
        <w:t>-</w:t>
      </w:r>
      <w:r w:rsidRPr="00631225" w:rsidR="00616B83">
        <w:rPr>
          <w:rFonts w:cs="Times New Roman"/>
          <w:szCs w:val="24"/>
        </w:rPr>
        <w:t xml:space="preserve">year timeline difficult to meet. </w:t>
      </w:r>
      <w:r w:rsidRPr="00631225" w:rsidR="006C3050">
        <w:rPr>
          <w:rFonts w:cs="Times New Roman"/>
          <w:szCs w:val="24"/>
        </w:rPr>
        <w:t xml:space="preserve"> And, finally, it</w:t>
      </w:r>
      <w:r w:rsidRPr="00631225" w:rsidR="00344798">
        <w:rPr>
          <w:rFonts w:cs="Times New Roman"/>
          <w:szCs w:val="24"/>
        </w:rPr>
        <w:t xml:space="preserve"> is unnecessary to add additional specie</w:t>
      </w:r>
      <w:r w:rsidRPr="00631225" w:rsidR="00165DDA">
        <w:rPr>
          <w:rFonts w:cs="Times New Roman"/>
          <w:szCs w:val="24"/>
        </w:rPr>
        <w:t xml:space="preserve">s </w:t>
      </w:r>
      <w:r w:rsidRPr="00631225" w:rsidR="00344798">
        <w:rPr>
          <w:rFonts w:cs="Times New Roman"/>
          <w:szCs w:val="24"/>
        </w:rPr>
        <w:t xml:space="preserve">because they are </w:t>
      </w:r>
      <w:r w:rsidRPr="00631225" w:rsidR="00674E50">
        <w:rPr>
          <w:rFonts w:cs="Times New Roman"/>
          <w:szCs w:val="24"/>
        </w:rPr>
        <w:t>generally part</w:t>
      </w:r>
      <w:r w:rsidRPr="00631225" w:rsidR="00344798">
        <w:rPr>
          <w:rFonts w:cs="Times New Roman"/>
          <w:szCs w:val="24"/>
        </w:rPr>
        <w:t xml:space="preserve"> of CPW</w:t>
      </w:r>
      <w:r w:rsidRPr="00631225" w:rsidR="00674E50">
        <w:rPr>
          <w:rFonts w:cs="Times New Roman"/>
          <w:szCs w:val="24"/>
        </w:rPr>
        <w:t>’s</w:t>
      </w:r>
      <w:r w:rsidRPr="00631225" w:rsidR="00344798">
        <w:rPr>
          <w:rFonts w:cs="Times New Roman"/>
          <w:szCs w:val="24"/>
        </w:rPr>
        <w:t xml:space="preserve"> mapping process. </w:t>
      </w:r>
      <w:r w:rsidR="00FF0838">
        <w:rPr>
          <w:rFonts w:cs="Times New Roman"/>
          <w:szCs w:val="24"/>
        </w:rPr>
        <w:t xml:space="preserve"> </w:t>
      </w:r>
      <w:r w:rsidRPr="00631225" w:rsidR="009C4280">
        <w:rPr>
          <w:rFonts w:cs="Times New Roman"/>
          <w:szCs w:val="24"/>
        </w:rPr>
        <w:t xml:space="preserve">For example, at </w:t>
      </w:r>
      <w:r w:rsidRPr="00631225" w:rsidR="00616B83">
        <w:rPr>
          <w:rFonts w:cs="Times New Roman"/>
          <w:szCs w:val="24"/>
        </w:rPr>
        <w:t xml:space="preserve">the August 3, 2022 public scoping meeting, some public commentators queried whether BLM would update </w:t>
      </w:r>
      <w:r w:rsidRPr="00631225" w:rsidR="00E922B8">
        <w:rPr>
          <w:rFonts w:cs="Times New Roman"/>
          <w:szCs w:val="24"/>
        </w:rPr>
        <w:t>b</w:t>
      </w:r>
      <w:r w:rsidRPr="00631225" w:rsidR="00616B83">
        <w:rPr>
          <w:rFonts w:cs="Times New Roman"/>
          <w:szCs w:val="24"/>
        </w:rPr>
        <w:t xml:space="preserve">ig </w:t>
      </w:r>
      <w:r w:rsidRPr="00631225" w:rsidR="00E922B8">
        <w:rPr>
          <w:rFonts w:cs="Times New Roman"/>
          <w:szCs w:val="24"/>
        </w:rPr>
        <w:t>h</w:t>
      </w:r>
      <w:r w:rsidRPr="00631225" w:rsidR="00616B83">
        <w:rPr>
          <w:rFonts w:cs="Times New Roman"/>
          <w:szCs w:val="24"/>
        </w:rPr>
        <w:t xml:space="preserve">orn </w:t>
      </w:r>
      <w:r w:rsidRPr="00631225" w:rsidR="00E922B8">
        <w:rPr>
          <w:rFonts w:cs="Times New Roman"/>
          <w:szCs w:val="24"/>
        </w:rPr>
        <w:t>s</w:t>
      </w:r>
      <w:r w:rsidRPr="00631225" w:rsidR="00616B83">
        <w:rPr>
          <w:rFonts w:cs="Times New Roman"/>
          <w:szCs w:val="24"/>
        </w:rPr>
        <w:t xml:space="preserve">heep habitat. </w:t>
      </w:r>
      <w:r w:rsidRPr="00631225" w:rsidR="006C3050">
        <w:rPr>
          <w:rFonts w:cs="Times New Roman"/>
          <w:szCs w:val="24"/>
        </w:rPr>
        <w:t xml:space="preserve"> </w:t>
      </w:r>
      <w:r w:rsidRPr="00631225" w:rsidR="00344798">
        <w:rPr>
          <w:rFonts w:cs="Times New Roman"/>
          <w:szCs w:val="24"/>
        </w:rPr>
        <w:t xml:space="preserve">But </w:t>
      </w:r>
      <w:r w:rsidRPr="00631225" w:rsidR="006C3050">
        <w:rPr>
          <w:rFonts w:cs="Times New Roman"/>
          <w:szCs w:val="24"/>
        </w:rPr>
        <w:t>doing this is unnecessary</w:t>
      </w:r>
      <w:r w:rsidRPr="00631225" w:rsidR="00616B83">
        <w:rPr>
          <w:rFonts w:cs="Times New Roman"/>
          <w:szCs w:val="24"/>
        </w:rPr>
        <w:t xml:space="preserve"> if BLM follows COGCC’s mapping, as the CPW map layers used by COGCC</w:t>
      </w:r>
      <w:r w:rsidRPr="00631225" w:rsidR="006C3050">
        <w:rPr>
          <w:rFonts w:cs="Times New Roman"/>
          <w:szCs w:val="24"/>
        </w:rPr>
        <w:t xml:space="preserve"> already</w:t>
      </w:r>
      <w:r w:rsidRPr="00631225" w:rsidR="00616B83">
        <w:rPr>
          <w:rFonts w:cs="Times New Roman"/>
          <w:szCs w:val="24"/>
        </w:rPr>
        <w:t xml:space="preserve"> include big horn sheep</w:t>
      </w:r>
      <w:r w:rsidRPr="00631225" w:rsidR="00E922B8">
        <w:rPr>
          <w:rFonts w:cs="Times New Roman"/>
          <w:szCs w:val="24"/>
        </w:rPr>
        <w:t xml:space="preserve"> habitat</w:t>
      </w:r>
      <w:r w:rsidRPr="00631225" w:rsidR="00A4602B">
        <w:rPr>
          <w:rFonts w:cs="Times New Roman"/>
          <w:szCs w:val="24"/>
        </w:rPr>
        <w:t xml:space="preserve"> and CPW is anticipated to continue to refine its big horn sheep habitat data over the years, just as it does with other species on a rolling basis.</w:t>
      </w:r>
    </w:p>
    <w:p w:rsidRPr="00631225" w:rsidR="00266C81" w:rsidP="00E922B8" w:rsidRDefault="00616B83" w14:paraId="586CFC20" w14:textId="01EC4DE5">
      <w:pPr>
        <w:spacing w:line="480" w:lineRule="auto"/>
        <w:rPr>
          <w:rFonts w:cs="Times New Roman"/>
          <w:szCs w:val="24"/>
        </w:rPr>
      </w:pPr>
      <w:r w:rsidRPr="00631225">
        <w:rPr>
          <w:rFonts w:cs="Times New Roman"/>
          <w:szCs w:val="24"/>
        </w:rPr>
        <w:tab/>
      </w:r>
      <w:r w:rsidRPr="00631225" w:rsidR="00876533">
        <w:rPr>
          <w:rFonts w:cs="Times New Roman"/>
          <w:szCs w:val="24"/>
        </w:rPr>
        <w:t xml:space="preserve">If </w:t>
      </w:r>
      <w:r w:rsidRPr="00631225" w:rsidR="00344798">
        <w:rPr>
          <w:rFonts w:cs="Times New Roman"/>
          <w:szCs w:val="24"/>
        </w:rPr>
        <w:t xml:space="preserve">BLM </w:t>
      </w:r>
      <w:r w:rsidRPr="00631225" w:rsidR="00876533">
        <w:rPr>
          <w:rFonts w:cs="Times New Roman"/>
          <w:szCs w:val="24"/>
        </w:rPr>
        <w:t xml:space="preserve">does decide to expand the </w:t>
      </w:r>
      <w:r w:rsidRPr="00631225" w:rsidR="006C3050">
        <w:rPr>
          <w:rFonts w:cs="Times New Roman"/>
          <w:szCs w:val="24"/>
        </w:rPr>
        <w:t xml:space="preserve">scope of the </w:t>
      </w:r>
      <w:r w:rsidRPr="00631225" w:rsidR="00876533">
        <w:rPr>
          <w:rFonts w:cs="Times New Roman"/>
          <w:szCs w:val="24"/>
        </w:rPr>
        <w:t xml:space="preserve">amendment, it should </w:t>
      </w:r>
      <w:r w:rsidRPr="00631225" w:rsidR="000D5FBD">
        <w:rPr>
          <w:rFonts w:cs="Times New Roman"/>
          <w:szCs w:val="24"/>
        </w:rPr>
        <w:t xml:space="preserve">consider adding </w:t>
      </w:r>
      <w:r w:rsidRPr="00631225" w:rsidR="009C4280">
        <w:rPr>
          <w:rFonts w:cs="Times New Roman"/>
          <w:szCs w:val="24"/>
        </w:rPr>
        <w:t>management decisions applicable to land uses</w:t>
      </w:r>
      <w:r w:rsidRPr="00631225" w:rsidR="000D5FBD">
        <w:rPr>
          <w:rFonts w:cs="Times New Roman"/>
          <w:szCs w:val="24"/>
        </w:rPr>
        <w:t xml:space="preserve"> beyond oil and gas development</w:t>
      </w:r>
      <w:r w:rsidRPr="00631225" w:rsidR="006C3050">
        <w:rPr>
          <w:rFonts w:cs="Times New Roman"/>
          <w:szCs w:val="24"/>
        </w:rPr>
        <w:t xml:space="preserve">.  This </w:t>
      </w:r>
      <w:r w:rsidRPr="00631225" w:rsidR="009C4280">
        <w:rPr>
          <w:rFonts w:cs="Times New Roman"/>
          <w:szCs w:val="24"/>
        </w:rPr>
        <w:t>would include renewable energy development</w:t>
      </w:r>
      <w:r w:rsidRPr="00631225" w:rsidR="00876533">
        <w:rPr>
          <w:rFonts w:cs="Times New Roman"/>
          <w:szCs w:val="24"/>
        </w:rPr>
        <w:t>, residential and commercial development, and recreational uses in wildlife areas</w:t>
      </w:r>
      <w:r w:rsidRPr="00631225" w:rsidR="006C3050">
        <w:rPr>
          <w:rFonts w:cs="Times New Roman"/>
          <w:szCs w:val="24"/>
        </w:rPr>
        <w:t xml:space="preserve"> – all of which have been</w:t>
      </w:r>
      <w:r w:rsidRPr="00631225" w:rsidR="00876533">
        <w:rPr>
          <w:rFonts w:cs="Times New Roman"/>
          <w:szCs w:val="24"/>
        </w:rPr>
        <w:t xml:space="preserve"> </w:t>
      </w:r>
      <w:r w:rsidRPr="00631225" w:rsidR="009C6792">
        <w:rPr>
          <w:rFonts w:cs="Times New Roman"/>
          <w:szCs w:val="24"/>
        </w:rPr>
        <w:t xml:space="preserve">at least as, if not </w:t>
      </w:r>
      <w:r w:rsidRPr="00631225" w:rsidR="00876533">
        <w:rPr>
          <w:rFonts w:cs="Times New Roman"/>
          <w:szCs w:val="24"/>
        </w:rPr>
        <w:t>more</w:t>
      </w:r>
      <w:r w:rsidRPr="00631225" w:rsidR="009C6792">
        <w:rPr>
          <w:rFonts w:cs="Times New Roman"/>
          <w:szCs w:val="24"/>
        </w:rPr>
        <w:t>,</w:t>
      </w:r>
      <w:r w:rsidRPr="00631225" w:rsidR="00876533">
        <w:rPr>
          <w:rFonts w:cs="Times New Roman"/>
          <w:szCs w:val="24"/>
        </w:rPr>
        <w:t xml:space="preserve"> impactful on wildlife habitat and corridor migration tha</w:t>
      </w:r>
      <w:r w:rsidRPr="00631225" w:rsidR="009C6792">
        <w:rPr>
          <w:rFonts w:cs="Times New Roman"/>
          <w:szCs w:val="24"/>
        </w:rPr>
        <w:t>n</w:t>
      </w:r>
      <w:r w:rsidRPr="00631225" w:rsidR="00876533">
        <w:rPr>
          <w:rFonts w:cs="Times New Roman"/>
          <w:szCs w:val="24"/>
        </w:rPr>
        <w:t xml:space="preserve"> oil and gas development.  </w:t>
      </w:r>
      <w:r w:rsidRPr="00631225" w:rsidR="00266C81">
        <w:rPr>
          <w:rFonts w:cs="Times New Roman"/>
          <w:szCs w:val="24"/>
        </w:rPr>
        <w:t xml:space="preserve">CPW’s 2020 Status Report lists a number of </w:t>
      </w:r>
      <w:r w:rsidRPr="00631225" w:rsidR="006C3050">
        <w:rPr>
          <w:rFonts w:cs="Times New Roman"/>
          <w:szCs w:val="24"/>
        </w:rPr>
        <w:t xml:space="preserve">these </w:t>
      </w:r>
      <w:r w:rsidRPr="00631225" w:rsidR="009C4280">
        <w:rPr>
          <w:rFonts w:cs="Times New Roman"/>
          <w:szCs w:val="24"/>
        </w:rPr>
        <w:t xml:space="preserve">non-oil and gas development uses </w:t>
      </w:r>
      <w:r w:rsidRPr="00631225" w:rsidR="00266C81">
        <w:rPr>
          <w:rFonts w:cs="Times New Roman"/>
          <w:szCs w:val="24"/>
        </w:rPr>
        <w:t>impacting the state’s big game winter range and migration corridors</w:t>
      </w:r>
      <w:r w:rsidRPr="00631225" w:rsidR="00074EF4">
        <w:rPr>
          <w:rFonts w:cs="Times New Roman"/>
          <w:szCs w:val="24"/>
        </w:rPr>
        <w:t>,</w:t>
      </w:r>
      <w:r w:rsidRPr="00631225" w:rsidR="000D5FBD">
        <w:rPr>
          <w:rFonts w:cs="Times New Roman"/>
          <w:szCs w:val="24"/>
        </w:rPr>
        <w:t xml:space="preserve"> </w:t>
      </w:r>
      <w:r w:rsidRPr="00631225" w:rsidR="006C3050">
        <w:rPr>
          <w:rFonts w:cs="Times New Roman"/>
          <w:szCs w:val="24"/>
        </w:rPr>
        <w:t>including</w:t>
      </w:r>
      <w:r w:rsidRPr="00631225" w:rsidR="000D5FBD">
        <w:rPr>
          <w:rFonts w:cs="Times New Roman"/>
          <w:szCs w:val="24"/>
        </w:rPr>
        <w:t xml:space="preserve"> rapid</w:t>
      </w:r>
      <w:r w:rsidRPr="00631225" w:rsidR="00266C81">
        <w:rPr>
          <w:rFonts w:cs="Times New Roman"/>
          <w:szCs w:val="24"/>
        </w:rPr>
        <w:t xml:space="preserve"> human population growth, </w:t>
      </w:r>
      <w:r w:rsidRPr="00631225" w:rsidR="000D5FBD">
        <w:rPr>
          <w:rFonts w:cs="Times New Roman"/>
          <w:szCs w:val="24"/>
        </w:rPr>
        <w:t xml:space="preserve">the explosion of </w:t>
      </w:r>
      <w:r w:rsidRPr="00631225" w:rsidR="00266C81">
        <w:rPr>
          <w:rFonts w:cs="Times New Roman"/>
          <w:szCs w:val="24"/>
        </w:rPr>
        <w:t>recreation activities</w:t>
      </w:r>
      <w:r w:rsidRPr="00631225" w:rsidR="000D5FBD">
        <w:rPr>
          <w:rFonts w:cs="Times New Roman"/>
          <w:szCs w:val="24"/>
        </w:rPr>
        <w:t xml:space="preserve"> in habitat areas</w:t>
      </w:r>
      <w:r w:rsidRPr="00631225" w:rsidR="006C3050">
        <w:rPr>
          <w:rFonts w:cs="Times New Roman"/>
          <w:szCs w:val="24"/>
        </w:rPr>
        <w:t xml:space="preserve"> (</w:t>
      </w:r>
      <w:r w:rsidRPr="00631225" w:rsidR="000D5FBD">
        <w:rPr>
          <w:rFonts w:cs="Times New Roman"/>
          <w:szCs w:val="24"/>
        </w:rPr>
        <w:t>particularly on the West Slope</w:t>
      </w:r>
      <w:r w:rsidRPr="00631225" w:rsidR="006C3050">
        <w:rPr>
          <w:rFonts w:cs="Times New Roman"/>
          <w:szCs w:val="24"/>
        </w:rPr>
        <w:t>)</w:t>
      </w:r>
      <w:r w:rsidRPr="00631225" w:rsidR="00266C81">
        <w:rPr>
          <w:rFonts w:cs="Times New Roman"/>
          <w:szCs w:val="24"/>
        </w:rPr>
        <w:t xml:space="preserve">, </w:t>
      </w:r>
      <w:r w:rsidRPr="00631225" w:rsidR="000D5FBD">
        <w:rPr>
          <w:rFonts w:cs="Times New Roman"/>
          <w:szCs w:val="24"/>
        </w:rPr>
        <w:t xml:space="preserve">the increasing number of </w:t>
      </w:r>
      <w:r w:rsidRPr="00631225" w:rsidR="00266C81">
        <w:rPr>
          <w:rFonts w:cs="Times New Roman"/>
          <w:szCs w:val="24"/>
        </w:rPr>
        <w:t>roadways and wildlife-vehicle collisions, logging and timber sales, weather and climate change</w:t>
      </w:r>
      <w:r w:rsidRPr="00631225" w:rsidR="006C3050">
        <w:rPr>
          <w:rFonts w:cs="Times New Roman"/>
          <w:szCs w:val="24"/>
        </w:rPr>
        <w:t xml:space="preserve">, </w:t>
      </w:r>
      <w:r w:rsidRPr="00631225" w:rsidR="00266C81">
        <w:rPr>
          <w:rFonts w:cs="Times New Roman"/>
          <w:szCs w:val="24"/>
        </w:rPr>
        <w:t>coal and uranium mining facilities</w:t>
      </w:r>
      <w:r w:rsidRPr="00631225" w:rsidR="006C3050">
        <w:rPr>
          <w:rFonts w:cs="Times New Roman"/>
          <w:szCs w:val="24"/>
        </w:rPr>
        <w:t>, and the</w:t>
      </w:r>
      <w:r w:rsidRPr="00631225" w:rsidR="00266C81">
        <w:rPr>
          <w:rFonts w:cs="Times New Roman"/>
          <w:szCs w:val="24"/>
        </w:rPr>
        <w:t xml:space="preserve"> installation of renewable energy facilities.  </w:t>
      </w:r>
      <w:r w:rsidRPr="00631225" w:rsidR="00266C81">
        <w:rPr>
          <w:rFonts w:cs="Times New Roman"/>
          <w:i/>
          <w:iCs/>
          <w:szCs w:val="24"/>
        </w:rPr>
        <w:t>See</w:t>
      </w:r>
      <w:r w:rsidRPr="00631225" w:rsidR="00266C81">
        <w:rPr>
          <w:rFonts w:cs="Times New Roman"/>
          <w:szCs w:val="24"/>
        </w:rPr>
        <w:t xml:space="preserve"> CPW’s 2020 Status Report</w:t>
      </w:r>
      <w:r w:rsidRPr="00631225" w:rsidR="002D1BDB">
        <w:rPr>
          <w:rFonts w:cs="Times New Roman"/>
          <w:szCs w:val="24"/>
        </w:rPr>
        <w:t xml:space="preserve"> </w:t>
      </w:r>
      <w:r w:rsidRPr="00631225" w:rsidR="00266C81">
        <w:rPr>
          <w:rFonts w:cs="Times New Roman"/>
          <w:szCs w:val="24"/>
        </w:rPr>
        <w:t>at 25-2</w:t>
      </w:r>
      <w:r w:rsidRPr="00631225" w:rsidR="006C79C8">
        <w:rPr>
          <w:rFonts w:cs="Times New Roman"/>
          <w:szCs w:val="24"/>
        </w:rPr>
        <w:t>8</w:t>
      </w:r>
      <w:r w:rsidRPr="00631225" w:rsidR="00047D5F">
        <w:rPr>
          <w:rFonts w:cs="Times New Roman"/>
          <w:szCs w:val="24"/>
        </w:rPr>
        <w:t xml:space="preserve">. </w:t>
      </w:r>
      <w:r w:rsidRPr="00631225" w:rsidR="000D5FBD">
        <w:rPr>
          <w:rFonts w:cs="Times New Roman"/>
          <w:szCs w:val="24"/>
        </w:rPr>
        <w:t>The development of renewable resource development in the state merit</w:t>
      </w:r>
      <w:r w:rsidRPr="00631225" w:rsidR="006C79C8">
        <w:rPr>
          <w:rFonts w:cs="Times New Roman"/>
          <w:szCs w:val="24"/>
        </w:rPr>
        <w:t>s</w:t>
      </w:r>
      <w:r w:rsidRPr="00631225" w:rsidR="000D5FBD">
        <w:rPr>
          <w:rFonts w:cs="Times New Roman"/>
          <w:szCs w:val="24"/>
        </w:rPr>
        <w:t xml:space="preserve"> special </w:t>
      </w:r>
      <w:r w:rsidRPr="00631225" w:rsidR="000514DA">
        <w:rPr>
          <w:rFonts w:cs="Times New Roman"/>
          <w:szCs w:val="24"/>
        </w:rPr>
        <w:t>focus</w:t>
      </w:r>
      <w:r w:rsidRPr="00631225" w:rsidR="000D5FBD">
        <w:rPr>
          <w:rFonts w:cs="Times New Roman"/>
          <w:szCs w:val="24"/>
        </w:rPr>
        <w:t xml:space="preserve"> “due to the </w:t>
      </w:r>
      <w:r w:rsidRPr="00631225" w:rsidR="00266C81">
        <w:rPr>
          <w:rFonts w:eastAsia="Calibri" w:cs="Times New Roman"/>
          <w:szCs w:val="24"/>
        </w:rPr>
        <w:t>federal requirements for fencing around solar panel arrays, the footprint of a solar project typically results in the complete loss of habitat for big game species.”</w:t>
      </w:r>
      <w:r w:rsidRPr="00631225" w:rsidR="002D1BDB">
        <w:rPr>
          <w:rFonts w:cs="Times New Roman"/>
          <w:szCs w:val="24"/>
        </w:rPr>
        <w:t xml:space="preserve"> CPW’s 2020 Status Report at 29.</w:t>
      </w:r>
    </w:p>
    <w:p w:rsidRPr="00631225" w:rsidR="003962FC" w:rsidP="000D5FBD" w:rsidRDefault="0077270F" w14:paraId="68112B9E" w14:textId="36861E90">
      <w:pPr>
        <w:spacing w:line="480" w:lineRule="auto"/>
        <w:ind w:firstLine="720"/>
        <w:rPr>
          <w:rFonts w:cs="Times New Roman"/>
          <w:szCs w:val="24"/>
        </w:rPr>
      </w:pPr>
      <w:r w:rsidRPr="00631225">
        <w:rPr>
          <w:rFonts w:cs="Times New Roman"/>
          <w:szCs w:val="24"/>
        </w:rPr>
        <w:t xml:space="preserve">While </w:t>
      </w:r>
      <w:r w:rsidR="002C4F02">
        <w:rPr>
          <w:rFonts w:cs="Times New Roman"/>
          <w:szCs w:val="24"/>
        </w:rPr>
        <w:t>t</w:t>
      </w:r>
      <w:r w:rsidRPr="002C4F02" w:rsidR="002C4F02">
        <w:rPr>
          <w:rFonts w:cs="Times New Roman"/>
          <w:szCs w:val="24"/>
        </w:rPr>
        <w:t>he Associations</w:t>
      </w:r>
      <w:r w:rsidR="002C4F02">
        <w:rPr>
          <w:rFonts w:cs="Times New Roman"/>
          <w:b/>
          <w:bCs/>
          <w:szCs w:val="24"/>
        </w:rPr>
        <w:t xml:space="preserve"> </w:t>
      </w:r>
      <w:r w:rsidRPr="00631225">
        <w:rPr>
          <w:rFonts w:cs="Times New Roman"/>
          <w:szCs w:val="24"/>
        </w:rPr>
        <w:t xml:space="preserve">believe this </w:t>
      </w:r>
      <w:r w:rsidRPr="00631225" w:rsidR="00616B2C">
        <w:rPr>
          <w:rFonts w:cs="Times New Roman"/>
          <w:szCs w:val="24"/>
        </w:rPr>
        <w:t xml:space="preserve">amendment </w:t>
      </w:r>
      <w:r w:rsidRPr="00631225" w:rsidR="006C5B19">
        <w:rPr>
          <w:rFonts w:cs="Times New Roman"/>
          <w:szCs w:val="24"/>
        </w:rPr>
        <w:t xml:space="preserve">and EIS </w:t>
      </w:r>
      <w:r w:rsidRPr="00631225" w:rsidR="00616B2C">
        <w:rPr>
          <w:rFonts w:cs="Times New Roman"/>
          <w:szCs w:val="24"/>
        </w:rPr>
        <w:t>process</w:t>
      </w:r>
      <w:r w:rsidRPr="00631225">
        <w:rPr>
          <w:rFonts w:cs="Times New Roman"/>
          <w:szCs w:val="24"/>
        </w:rPr>
        <w:t xml:space="preserve"> </w:t>
      </w:r>
      <w:r w:rsidRPr="00631225" w:rsidR="006D382E">
        <w:rPr>
          <w:rFonts w:cs="Times New Roman"/>
          <w:szCs w:val="24"/>
        </w:rPr>
        <w:t xml:space="preserve">should be focused on oil and gas energy development </w:t>
      </w:r>
      <w:r w:rsidRPr="00631225" w:rsidR="00876533">
        <w:rPr>
          <w:rFonts w:cs="Times New Roman"/>
          <w:szCs w:val="24"/>
        </w:rPr>
        <w:t xml:space="preserve">to satisfy the strict timing requirements, it should be obvious that </w:t>
      </w:r>
      <w:r w:rsidRPr="00631225" w:rsidR="005C6401">
        <w:rPr>
          <w:rFonts w:cs="Times New Roman"/>
          <w:szCs w:val="24"/>
        </w:rPr>
        <w:t xml:space="preserve">many other </w:t>
      </w:r>
      <w:r w:rsidRPr="00631225" w:rsidR="009C4280">
        <w:rPr>
          <w:rFonts w:cs="Times New Roman"/>
          <w:szCs w:val="24"/>
        </w:rPr>
        <w:t xml:space="preserve">land uses </w:t>
      </w:r>
      <w:r w:rsidRPr="00631225" w:rsidR="000514DA">
        <w:rPr>
          <w:rFonts w:cs="Times New Roman"/>
          <w:szCs w:val="24"/>
        </w:rPr>
        <w:t xml:space="preserve">are just as or more </w:t>
      </w:r>
      <w:r w:rsidRPr="00631225" w:rsidR="005C6401">
        <w:rPr>
          <w:rFonts w:cs="Times New Roman"/>
          <w:szCs w:val="24"/>
        </w:rPr>
        <w:t xml:space="preserve">impactful than oil and gas development. </w:t>
      </w:r>
      <w:r w:rsidRPr="00631225" w:rsidR="00876533">
        <w:rPr>
          <w:rFonts w:cs="Times New Roman"/>
          <w:szCs w:val="24"/>
        </w:rPr>
        <w:t xml:space="preserve"> </w:t>
      </w:r>
      <w:r w:rsidRPr="00631225" w:rsidR="000D5FBD">
        <w:rPr>
          <w:rFonts w:cs="Times New Roman"/>
          <w:szCs w:val="24"/>
        </w:rPr>
        <w:t xml:space="preserve">While BLM should not expand the scope of this </w:t>
      </w:r>
      <w:r w:rsidRPr="00631225" w:rsidR="00074EF4">
        <w:rPr>
          <w:rFonts w:cs="Times New Roman"/>
          <w:szCs w:val="24"/>
        </w:rPr>
        <w:t>amendment</w:t>
      </w:r>
      <w:r w:rsidRPr="00631225" w:rsidR="000D5FBD">
        <w:rPr>
          <w:rFonts w:cs="Times New Roman"/>
          <w:szCs w:val="24"/>
        </w:rPr>
        <w:t xml:space="preserve"> beyond the Notice of Intent, if it does so it should </w:t>
      </w:r>
      <w:r w:rsidRPr="00631225" w:rsidR="00726D8E">
        <w:rPr>
          <w:rFonts w:cs="Times New Roman"/>
          <w:szCs w:val="24"/>
        </w:rPr>
        <w:t xml:space="preserve">recognize that </w:t>
      </w:r>
      <w:r w:rsidRPr="00631225" w:rsidR="000D5FBD">
        <w:rPr>
          <w:rFonts w:cs="Times New Roman"/>
          <w:szCs w:val="24"/>
        </w:rPr>
        <w:t>many other</w:t>
      </w:r>
      <w:r w:rsidRPr="00631225" w:rsidR="00616B83">
        <w:rPr>
          <w:rFonts w:cs="Times New Roman"/>
          <w:szCs w:val="24"/>
        </w:rPr>
        <w:t xml:space="preserve"> uses other than </w:t>
      </w:r>
      <w:r w:rsidRPr="00631225" w:rsidR="00726D8E">
        <w:rPr>
          <w:rFonts w:cs="Times New Roman"/>
          <w:szCs w:val="24"/>
        </w:rPr>
        <w:t xml:space="preserve">oil and gas development </w:t>
      </w:r>
      <w:r w:rsidRPr="00631225" w:rsidR="000D5FBD">
        <w:rPr>
          <w:rFonts w:cs="Times New Roman"/>
          <w:szCs w:val="24"/>
        </w:rPr>
        <w:t>have a profound impact on wildlife.</w:t>
      </w:r>
    </w:p>
    <w:p w:rsidRPr="00631225" w:rsidR="00A4105C" w:rsidP="00A9513D" w:rsidRDefault="00A4105C" w14:paraId="75C33DFD" w14:textId="77777777">
      <w:pPr>
        <w:pStyle w:val="ListParagraph"/>
        <w:numPr>
          <w:ilvl w:val="0"/>
          <w:numId w:val="19"/>
        </w:numPr>
        <w:rPr>
          <w:rFonts w:cs="Times New Roman"/>
          <w:b/>
          <w:bCs/>
          <w:szCs w:val="24"/>
        </w:rPr>
      </w:pPr>
      <w:r w:rsidRPr="00631225">
        <w:rPr>
          <w:rFonts w:cs="Times New Roman"/>
          <w:b/>
          <w:bCs/>
          <w:szCs w:val="24"/>
        </w:rPr>
        <w:t xml:space="preserve">Density Limitations Should Recognize Impact Minimization </w:t>
      </w:r>
      <w:r w:rsidRPr="00631225" w:rsidR="0057707C">
        <w:rPr>
          <w:rFonts w:cs="Times New Roman"/>
          <w:b/>
          <w:bCs/>
          <w:szCs w:val="24"/>
        </w:rPr>
        <w:t xml:space="preserve">and Mitigation </w:t>
      </w:r>
      <w:r w:rsidRPr="00631225">
        <w:rPr>
          <w:rFonts w:cs="Times New Roman"/>
          <w:b/>
          <w:bCs/>
          <w:szCs w:val="24"/>
        </w:rPr>
        <w:t xml:space="preserve">Strategies and Not Set </w:t>
      </w:r>
      <w:r w:rsidRPr="00631225" w:rsidR="0057707C">
        <w:rPr>
          <w:rFonts w:cs="Times New Roman"/>
          <w:b/>
          <w:bCs/>
          <w:szCs w:val="24"/>
        </w:rPr>
        <w:t>Categorical, Absolute Limitations.</w:t>
      </w:r>
    </w:p>
    <w:p w:rsidRPr="00631225" w:rsidR="00A4105C" w:rsidP="00A4105C" w:rsidRDefault="00A4105C" w14:paraId="5E2DFAD6" w14:textId="77777777">
      <w:pPr>
        <w:pStyle w:val="ListParagraph"/>
        <w:rPr>
          <w:rFonts w:cs="Times New Roman"/>
          <w:szCs w:val="24"/>
        </w:rPr>
      </w:pPr>
    </w:p>
    <w:p w:rsidRPr="00631225" w:rsidR="00FF6361" w:rsidP="00FF6361" w:rsidRDefault="003044FC" w14:paraId="24FCBB2F" w14:textId="42CB9D0B">
      <w:pPr>
        <w:pStyle w:val="ListParagraph"/>
        <w:spacing w:line="480" w:lineRule="auto"/>
        <w:ind w:left="0"/>
        <w:rPr>
          <w:rFonts w:cs="Times New Roman"/>
          <w:szCs w:val="24"/>
        </w:rPr>
      </w:pPr>
      <w:r w:rsidRPr="00631225">
        <w:rPr>
          <w:rFonts w:cs="Times New Roman"/>
          <w:szCs w:val="24"/>
        </w:rPr>
        <w:tab/>
      </w:r>
      <w:r w:rsidRPr="00631225" w:rsidR="00A4105C">
        <w:rPr>
          <w:rFonts w:cs="Times New Roman"/>
          <w:szCs w:val="24"/>
        </w:rPr>
        <w:t xml:space="preserve">The Notice of </w:t>
      </w:r>
      <w:r w:rsidRPr="00631225" w:rsidR="00616B2C">
        <w:rPr>
          <w:rFonts w:cs="Times New Roman"/>
          <w:szCs w:val="24"/>
        </w:rPr>
        <w:t>Intent</w:t>
      </w:r>
      <w:r w:rsidRPr="00631225" w:rsidR="00A4105C">
        <w:rPr>
          <w:rFonts w:cs="Times New Roman"/>
          <w:szCs w:val="24"/>
        </w:rPr>
        <w:t xml:space="preserve"> </w:t>
      </w:r>
      <w:r w:rsidRPr="00631225" w:rsidR="00BC32F3">
        <w:rPr>
          <w:rFonts w:cs="Times New Roman"/>
          <w:szCs w:val="24"/>
        </w:rPr>
        <w:t>states</w:t>
      </w:r>
      <w:r w:rsidRPr="00631225" w:rsidR="00A4105C">
        <w:rPr>
          <w:rFonts w:cs="Times New Roman"/>
          <w:szCs w:val="24"/>
        </w:rPr>
        <w:t xml:space="preserve"> BLM “will consider” density limitations</w:t>
      </w:r>
      <w:r w:rsidRPr="00631225" w:rsidR="00D13290">
        <w:rPr>
          <w:rFonts w:cs="Times New Roman"/>
          <w:szCs w:val="24"/>
        </w:rPr>
        <w:t xml:space="preserve"> as one of its planning alternatives</w:t>
      </w:r>
      <w:r w:rsidRPr="00631225" w:rsidR="00A4105C">
        <w:rPr>
          <w:rFonts w:cs="Times New Roman"/>
          <w:szCs w:val="24"/>
        </w:rPr>
        <w:t xml:space="preserve">.  </w:t>
      </w:r>
      <w:r w:rsidRPr="00631225" w:rsidR="00FF6361">
        <w:rPr>
          <w:rFonts w:cs="Times New Roman"/>
          <w:szCs w:val="24"/>
        </w:rPr>
        <w:t>After weighing a substantial amount of data and party testimony last year, t</w:t>
      </w:r>
      <w:r w:rsidRPr="00631225" w:rsidR="00A4105C">
        <w:rPr>
          <w:rFonts w:cs="Times New Roman"/>
          <w:szCs w:val="24"/>
        </w:rPr>
        <w:t xml:space="preserve">he COGCC </w:t>
      </w:r>
      <w:r w:rsidRPr="00631225" w:rsidR="00FF6361">
        <w:rPr>
          <w:rFonts w:cs="Times New Roman"/>
          <w:szCs w:val="24"/>
        </w:rPr>
        <w:t xml:space="preserve">implemented </w:t>
      </w:r>
      <w:r w:rsidRPr="00631225" w:rsidR="00A4105C">
        <w:rPr>
          <w:rFonts w:cs="Times New Roman"/>
          <w:szCs w:val="24"/>
        </w:rPr>
        <w:t xml:space="preserve">density </w:t>
      </w:r>
      <w:r w:rsidRPr="00631225" w:rsidR="00074EF4">
        <w:rPr>
          <w:rFonts w:cs="Times New Roman"/>
          <w:szCs w:val="24"/>
        </w:rPr>
        <w:t>considerations</w:t>
      </w:r>
      <w:r w:rsidRPr="00631225" w:rsidR="00A4105C">
        <w:rPr>
          <w:rFonts w:cs="Times New Roman"/>
          <w:szCs w:val="24"/>
        </w:rPr>
        <w:t xml:space="preserve"> in its recent 1200 Series Rulemaking</w:t>
      </w:r>
      <w:r w:rsidR="00AB24C1">
        <w:rPr>
          <w:rFonts w:cs="Times New Roman"/>
          <w:szCs w:val="24"/>
        </w:rPr>
        <w:t>;</w:t>
      </w:r>
      <w:r w:rsidRPr="00631225" w:rsidR="00382051">
        <w:rPr>
          <w:rFonts w:cs="Times New Roman"/>
          <w:szCs w:val="24"/>
        </w:rPr>
        <w:t xml:space="preserve"> </w:t>
      </w:r>
      <w:r w:rsidR="002C4F02">
        <w:rPr>
          <w:rFonts w:cs="Times New Roman"/>
          <w:szCs w:val="24"/>
        </w:rPr>
        <w:t>t</w:t>
      </w:r>
      <w:r w:rsidRPr="002C4F02" w:rsidR="002C4F02">
        <w:rPr>
          <w:rFonts w:cs="Times New Roman"/>
          <w:szCs w:val="24"/>
        </w:rPr>
        <w:t>he Associations</w:t>
      </w:r>
      <w:r w:rsidR="002C4F02">
        <w:rPr>
          <w:rFonts w:cs="Times New Roman"/>
          <w:b/>
          <w:bCs/>
          <w:szCs w:val="24"/>
        </w:rPr>
        <w:t xml:space="preserve"> </w:t>
      </w:r>
      <w:r w:rsidRPr="00631225" w:rsidR="00382051">
        <w:rPr>
          <w:rFonts w:cs="Times New Roman"/>
          <w:szCs w:val="24"/>
        </w:rPr>
        <w:t xml:space="preserve">encourage BLM to adopt a similar </w:t>
      </w:r>
      <w:r w:rsidRPr="00631225" w:rsidR="0037708E">
        <w:rPr>
          <w:rFonts w:cs="Times New Roman"/>
          <w:szCs w:val="24"/>
        </w:rPr>
        <w:t>policy as</w:t>
      </w:r>
      <w:r w:rsidRPr="00631225" w:rsidR="00382051">
        <w:rPr>
          <w:rFonts w:cs="Times New Roman"/>
          <w:szCs w:val="24"/>
        </w:rPr>
        <w:t xml:space="preserve"> </w:t>
      </w:r>
      <w:r w:rsidRPr="00631225" w:rsidR="0037708E">
        <w:rPr>
          <w:rFonts w:cs="Times New Roman"/>
          <w:szCs w:val="24"/>
        </w:rPr>
        <w:t>that which</w:t>
      </w:r>
      <w:r w:rsidRPr="00631225" w:rsidR="00382051">
        <w:rPr>
          <w:rFonts w:cs="Times New Roman"/>
          <w:szCs w:val="24"/>
        </w:rPr>
        <w:t xml:space="preserve"> COGCC </w:t>
      </w:r>
      <w:r w:rsidRPr="00631225" w:rsidR="00A4105C">
        <w:rPr>
          <w:rFonts w:cs="Times New Roman"/>
          <w:szCs w:val="24"/>
        </w:rPr>
        <w:t xml:space="preserve">adopted </w:t>
      </w:r>
      <w:r w:rsidRPr="00631225" w:rsidR="00382051">
        <w:rPr>
          <w:rFonts w:cs="Times New Roman"/>
          <w:szCs w:val="24"/>
        </w:rPr>
        <w:t xml:space="preserve">in COGCC Rule </w:t>
      </w:r>
      <w:r w:rsidRPr="00631225" w:rsidR="00A4105C">
        <w:rPr>
          <w:rFonts w:cs="Times New Roman"/>
          <w:szCs w:val="24"/>
        </w:rPr>
        <w:t>1202.d.</w:t>
      </w:r>
      <w:r w:rsidRPr="00631225" w:rsidR="00382051">
        <w:rPr>
          <w:rFonts w:cs="Times New Roman"/>
          <w:szCs w:val="24"/>
        </w:rPr>
        <w:t xml:space="preserve">  That rule</w:t>
      </w:r>
      <w:r w:rsidRPr="00631225" w:rsidR="00A4105C">
        <w:rPr>
          <w:rFonts w:cs="Times New Roman"/>
          <w:szCs w:val="24"/>
        </w:rPr>
        <w:t xml:space="preserve"> provides in relevant part that when an oil and gas location is proposed such that the density of oil and gas locations in high priority habitat</w:t>
      </w:r>
      <w:r w:rsidRPr="00631225" w:rsidR="0057707C">
        <w:rPr>
          <w:rStyle w:val="FootnoteReference"/>
          <w:rFonts w:cs="Times New Roman"/>
          <w:szCs w:val="24"/>
        </w:rPr>
        <w:footnoteReference w:id="3"/>
      </w:r>
      <w:r w:rsidRPr="00631225" w:rsidR="00A4105C">
        <w:rPr>
          <w:rFonts w:cs="Times New Roman"/>
          <w:szCs w:val="24"/>
        </w:rPr>
        <w:t xml:space="preserve"> </w:t>
      </w:r>
      <w:r w:rsidRPr="00631225" w:rsidR="00382051">
        <w:rPr>
          <w:rFonts w:cs="Times New Roman"/>
          <w:szCs w:val="24"/>
        </w:rPr>
        <w:t xml:space="preserve">would </w:t>
      </w:r>
      <w:r w:rsidRPr="00631225" w:rsidR="00A4105C">
        <w:rPr>
          <w:rFonts w:cs="Times New Roman"/>
          <w:szCs w:val="24"/>
        </w:rPr>
        <w:t xml:space="preserve">exceed </w:t>
      </w:r>
      <w:r w:rsidRPr="00631225" w:rsidR="00382051">
        <w:rPr>
          <w:rFonts w:cs="Times New Roman"/>
          <w:szCs w:val="24"/>
        </w:rPr>
        <w:t>one</w:t>
      </w:r>
      <w:r w:rsidRPr="00631225" w:rsidR="00A4105C">
        <w:rPr>
          <w:rFonts w:cs="Times New Roman"/>
          <w:szCs w:val="24"/>
        </w:rPr>
        <w:t xml:space="preserve"> per square mile</w:t>
      </w:r>
      <w:r w:rsidRPr="00631225" w:rsidR="000514DA">
        <w:rPr>
          <w:rFonts w:cs="Times New Roman"/>
          <w:szCs w:val="24"/>
        </w:rPr>
        <w:t>, that location may only be approved after completion of</w:t>
      </w:r>
      <w:r w:rsidRPr="00631225" w:rsidR="00A4105C">
        <w:rPr>
          <w:rFonts w:cs="Times New Roman"/>
          <w:szCs w:val="24"/>
        </w:rPr>
        <w:t xml:space="preserve"> a CPW-approved wildlife mitigation plan or another CPW approved conservation plan and compensatory mitigation for wildlife.  </w:t>
      </w:r>
      <w:r w:rsidRPr="00631225" w:rsidR="00FF6361">
        <w:rPr>
          <w:rFonts w:cs="Times New Roman"/>
          <w:szCs w:val="24"/>
        </w:rPr>
        <w:t>Such plans “must include site-specific measures to address unavoidable adverse indirect impacts to wildlife that occur in these habitats when the development density exceeds one oil and gas location per square mile,</w:t>
      </w:r>
      <w:r w:rsidRPr="00631225" w:rsidR="00D5098D">
        <w:rPr>
          <w:rFonts w:cs="Times New Roman"/>
          <w:szCs w:val="24"/>
        </w:rPr>
        <w:t>”</w:t>
      </w:r>
      <w:r w:rsidRPr="00631225" w:rsidR="00FF6361">
        <w:rPr>
          <w:rFonts w:cs="Times New Roman"/>
          <w:szCs w:val="24"/>
        </w:rPr>
        <w:t xml:space="preserve">  </w:t>
      </w:r>
      <w:r w:rsidRPr="00631225" w:rsidR="00074EF4">
        <w:rPr>
          <w:rFonts w:cs="Times New Roman"/>
          <w:i/>
          <w:iCs/>
          <w:szCs w:val="24"/>
        </w:rPr>
        <w:t>i</w:t>
      </w:r>
      <w:r w:rsidRPr="00631225" w:rsidR="00FF6361">
        <w:rPr>
          <w:rFonts w:cs="Times New Roman"/>
          <w:i/>
          <w:iCs/>
          <w:szCs w:val="24"/>
        </w:rPr>
        <w:t>d.</w:t>
      </w:r>
      <w:r w:rsidRPr="00631225" w:rsidR="000514DA">
        <w:rPr>
          <w:rFonts w:cs="Times New Roman"/>
          <w:szCs w:val="24"/>
        </w:rPr>
        <w:t>,</w:t>
      </w:r>
      <w:r w:rsidRPr="00631225" w:rsidR="00FF6361">
        <w:rPr>
          <w:rFonts w:cs="Times New Roman"/>
          <w:i/>
          <w:iCs/>
          <w:szCs w:val="24"/>
        </w:rPr>
        <w:t xml:space="preserve"> </w:t>
      </w:r>
      <w:r w:rsidRPr="00631225" w:rsidR="00FF6361">
        <w:rPr>
          <w:rFonts w:cs="Times New Roman"/>
          <w:szCs w:val="24"/>
        </w:rPr>
        <w:t>and may include “Habitat Conservation Plans for threatened and endangered species, Candidate Conservation Agreements, wildlife plans adopted pursuant to local or federal</w:t>
      </w:r>
      <w:r w:rsidRPr="00631225" w:rsidR="000514DA">
        <w:rPr>
          <w:rFonts w:cs="Times New Roman"/>
          <w:szCs w:val="24"/>
        </w:rPr>
        <w:t xml:space="preserve"> </w:t>
      </w:r>
      <w:r w:rsidRPr="00631225" w:rsidR="00FF6361">
        <w:rPr>
          <w:rFonts w:cs="Times New Roman"/>
          <w:szCs w:val="24"/>
        </w:rPr>
        <w:t xml:space="preserve">government regulations, and enrollment in habitat exchanges.”  1200 Series SBP at Attachment 1, p. 3. Of note, the COGCC explicitly designed these wildlife mitigation and conservation plans to be flexible </w:t>
      </w:r>
      <w:r w:rsidRPr="00631225" w:rsidR="00A8673B">
        <w:rPr>
          <w:rFonts w:cs="Times New Roman"/>
          <w:szCs w:val="24"/>
        </w:rPr>
        <w:t>to</w:t>
      </w:r>
      <w:r w:rsidRPr="00631225" w:rsidR="00FF6361">
        <w:rPr>
          <w:rFonts w:cs="Times New Roman"/>
          <w:szCs w:val="24"/>
        </w:rPr>
        <w:t xml:space="preserve"> “encourage coordination with the federal government.” 1200 </w:t>
      </w:r>
      <w:r w:rsidRPr="00631225" w:rsidR="00074EF4">
        <w:rPr>
          <w:rFonts w:cs="Times New Roman"/>
          <w:szCs w:val="24"/>
        </w:rPr>
        <w:t>S</w:t>
      </w:r>
      <w:r w:rsidRPr="00631225" w:rsidR="00FF6361">
        <w:rPr>
          <w:rFonts w:cs="Times New Roman"/>
          <w:szCs w:val="24"/>
        </w:rPr>
        <w:t>eries SBP</w:t>
      </w:r>
      <w:r w:rsidRPr="00631225" w:rsidR="00074EF4">
        <w:rPr>
          <w:rFonts w:cs="Times New Roman"/>
          <w:szCs w:val="24"/>
        </w:rPr>
        <w:t xml:space="preserve"> at 179.</w:t>
      </w:r>
      <w:r w:rsidRPr="00631225" w:rsidR="00D0210D">
        <w:rPr>
          <w:rFonts w:cs="Times New Roman"/>
          <w:szCs w:val="24"/>
        </w:rPr>
        <w:t xml:space="preserve"> </w:t>
      </w:r>
    </w:p>
    <w:p w:rsidRPr="00631225" w:rsidR="00382051" w:rsidP="00E62EC5" w:rsidRDefault="00FF6361" w14:paraId="0EA5D2F1" w14:textId="494C7EE7">
      <w:pPr>
        <w:pStyle w:val="ListParagraph"/>
        <w:spacing w:line="480" w:lineRule="auto"/>
        <w:ind w:left="0"/>
        <w:rPr>
          <w:rFonts w:cs="Times New Roman"/>
          <w:szCs w:val="24"/>
        </w:rPr>
      </w:pPr>
      <w:r w:rsidRPr="00631225">
        <w:rPr>
          <w:rFonts w:cs="Times New Roman"/>
          <w:szCs w:val="24"/>
        </w:rPr>
        <w:tab/>
        <w:t xml:space="preserve">No doubt there will be some commentors who </w:t>
      </w:r>
      <w:r w:rsidRPr="00631225" w:rsidR="00074EF4">
        <w:rPr>
          <w:rFonts w:cs="Times New Roman"/>
          <w:szCs w:val="24"/>
        </w:rPr>
        <w:t xml:space="preserve">ask </w:t>
      </w:r>
      <w:r w:rsidRPr="00631225">
        <w:rPr>
          <w:rFonts w:cs="Times New Roman"/>
          <w:szCs w:val="24"/>
        </w:rPr>
        <w:t xml:space="preserve">BLM </w:t>
      </w:r>
      <w:r w:rsidRPr="00631225" w:rsidR="000514DA">
        <w:rPr>
          <w:rFonts w:cs="Times New Roman"/>
          <w:szCs w:val="24"/>
        </w:rPr>
        <w:t xml:space="preserve">to </w:t>
      </w:r>
      <w:r w:rsidRPr="00631225">
        <w:rPr>
          <w:rFonts w:cs="Times New Roman"/>
          <w:szCs w:val="24"/>
        </w:rPr>
        <w:t xml:space="preserve">adopt stringent and inflexible density caps on oil and gas development in </w:t>
      </w:r>
      <w:r w:rsidRPr="00631225" w:rsidR="00747EBF">
        <w:rPr>
          <w:rFonts w:cs="Times New Roman"/>
          <w:szCs w:val="24"/>
        </w:rPr>
        <w:t>sensitive habitat</w:t>
      </w:r>
      <w:r w:rsidRPr="00631225">
        <w:rPr>
          <w:rFonts w:cs="Times New Roman"/>
          <w:szCs w:val="24"/>
        </w:rPr>
        <w:t xml:space="preserve"> areas.  Similarly,</w:t>
      </w:r>
      <w:r w:rsidRPr="00631225" w:rsidR="00E62EC5">
        <w:rPr>
          <w:rFonts w:cs="Times New Roman"/>
          <w:szCs w:val="24"/>
        </w:rPr>
        <w:t xml:space="preserve"> som</w:t>
      </w:r>
      <w:r w:rsidRPr="00631225" w:rsidR="00382051">
        <w:rPr>
          <w:rFonts w:cs="Times New Roman"/>
          <w:szCs w:val="24"/>
        </w:rPr>
        <w:t xml:space="preserve">e stakeholders </w:t>
      </w:r>
      <w:r w:rsidRPr="00631225">
        <w:rPr>
          <w:rFonts w:cs="Times New Roman"/>
          <w:szCs w:val="24"/>
        </w:rPr>
        <w:t xml:space="preserve">during the 1200 Series deliberations </w:t>
      </w:r>
      <w:r w:rsidRPr="00631225" w:rsidR="00382051">
        <w:rPr>
          <w:rFonts w:cs="Times New Roman"/>
          <w:szCs w:val="24"/>
        </w:rPr>
        <w:t xml:space="preserve">urged the COGCC to </w:t>
      </w:r>
      <w:r w:rsidRPr="00631225">
        <w:rPr>
          <w:rFonts w:cs="Times New Roman"/>
          <w:szCs w:val="24"/>
        </w:rPr>
        <w:t>limit all oil and gas development in habitat areas</w:t>
      </w:r>
      <w:r w:rsidRPr="00631225" w:rsidR="00382051">
        <w:rPr>
          <w:rFonts w:cs="Times New Roman"/>
          <w:szCs w:val="24"/>
        </w:rPr>
        <w:t xml:space="preserve"> to one oil and gas location per square mile</w:t>
      </w:r>
      <w:r w:rsidRPr="00631225" w:rsidR="00E62EC5">
        <w:rPr>
          <w:rFonts w:cs="Times New Roman"/>
          <w:szCs w:val="24"/>
        </w:rPr>
        <w:t xml:space="preserve">.  As BLM should </w:t>
      </w:r>
      <w:r w:rsidRPr="00631225" w:rsidR="00074EF4">
        <w:rPr>
          <w:rFonts w:cs="Times New Roman"/>
          <w:szCs w:val="24"/>
        </w:rPr>
        <w:t>d</w:t>
      </w:r>
      <w:r w:rsidRPr="00631225" w:rsidR="00E62EC5">
        <w:rPr>
          <w:rFonts w:cs="Times New Roman"/>
          <w:szCs w:val="24"/>
        </w:rPr>
        <w:t>o, the</w:t>
      </w:r>
      <w:r w:rsidRPr="00631225" w:rsidR="00382051">
        <w:rPr>
          <w:rFonts w:cs="Times New Roman"/>
          <w:szCs w:val="24"/>
        </w:rPr>
        <w:t xml:space="preserve"> COGCC </w:t>
      </w:r>
      <w:r w:rsidRPr="00631225" w:rsidR="00E62EC5">
        <w:rPr>
          <w:rFonts w:cs="Times New Roman"/>
          <w:szCs w:val="24"/>
        </w:rPr>
        <w:t xml:space="preserve">adopted a more flexible approach, recognizing that </w:t>
      </w:r>
      <w:r w:rsidRPr="00631225" w:rsidR="00382051">
        <w:rPr>
          <w:rFonts w:cs="Times New Roman"/>
          <w:szCs w:val="24"/>
        </w:rPr>
        <w:t xml:space="preserve">high priority </w:t>
      </w:r>
      <w:r w:rsidR="00786464">
        <w:rPr>
          <w:rFonts w:cs="Times New Roman"/>
          <w:szCs w:val="24"/>
        </w:rPr>
        <w:t>habitat</w:t>
      </w:r>
      <w:r w:rsidRPr="00631225" w:rsidR="00382051">
        <w:rPr>
          <w:rFonts w:cs="Times New Roman"/>
          <w:szCs w:val="24"/>
        </w:rPr>
        <w:t xml:space="preserve"> is</w:t>
      </w:r>
      <w:r w:rsidRPr="00631225">
        <w:rPr>
          <w:rFonts w:cs="Times New Roman"/>
          <w:szCs w:val="24"/>
        </w:rPr>
        <w:t>:</w:t>
      </w:r>
      <w:r w:rsidRPr="00631225" w:rsidR="00382051">
        <w:rPr>
          <w:rFonts w:cs="Times New Roman"/>
          <w:szCs w:val="24"/>
        </w:rPr>
        <w:t xml:space="preserve"> </w:t>
      </w:r>
    </w:p>
    <w:p w:rsidRPr="00631225" w:rsidR="00382051" w:rsidP="003044FC" w:rsidRDefault="00382051" w14:paraId="0A9A2B5D" w14:textId="77777777">
      <w:pPr>
        <w:pStyle w:val="ListParagraph"/>
        <w:ind w:left="1152" w:right="1152"/>
        <w:rPr>
          <w:rFonts w:cs="Times New Roman"/>
          <w:szCs w:val="24"/>
        </w:rPr>
      </w:pPr>
      <w:r w:rsidRPr="00631225">
        <w:rPr>
          <w:rFonts w:cs="Times New Roman"/>
          <w:szCs w:val="24"/>
        </w:rPr>
        <w:t xml:space="preserve">“frequently managed by land managers and state wildlife agencies using impact minimization strategies, like co-locating facilities and limiting the density of surface facilities, or implementing surface disturbance caps. Evidence in the administrative record demonstrates that </w:t>
      </w:r>
      <w:r w:rsidRPr="00631225">
        <w:rPr>
          <w:rFonts w:cs="Times New Roman"/>
          <w:szCs w:val="24"/>
          <w:u w:val="single"/>
        </w:rPr>
        <w:t>when properly regulated, development can occur within these</w:t>
      </w:r>
      <w:r w:rsidRPr="00631225" w:rsidR="003044FC">
        <w:rPr>
          <w:rFonts w:cs="Times New Roman"/>
          <w:szCs w:val="24"/>
          <w:u w:val="single"/>
        </w:rPr>
        <w:t xml:space="preserve"> </w:t>
      </w:r>
      <w:r w:rsidRPr="00631225">
        <w:rPr>
          <w:rFonts w:cs="Times New Roman"/>
          <w:szCs w:val="24"/>
          <w:u w:val="single"/>
        </w:rPr>
        <w:t>areas in a manner protective of wildlife populations and their habitat</w:t>
      </w:r>
      <w:r w:rsidRPr="00631225">
        <w:rPr>
          <w:rFonts w:cs="Times New Roman"/>
          <w:szCs w:val="24"/>
        </w:rPr>
        <w:t>.”</w:t>
      </w:r>
    </w:p>
    <w:p w:rsidRPr="00631225" w:rsidR="00382051" w:rsidP="00382051" w:rsidRDefault="00382051" w14:paraId="577E5105" w14:textId="77777777">
      <w:pPr>
        <w:pStyle w:val="ListParagraph"/>
        <w:rPr>
          <w:rFonts w:cs="Times New Roman"/>
          <w:i/>
          <w:iCs/>
          <w:szCs w:val="24"/>
        </w:rPr>
      </w:pPr>
    </w:p>
    <w:p w:rsidRPr="00631225" w:rsidR="00883A8F" w:rsidP="00FF6361" w:rsidRDefault="00382051" w14:paraId="23F71C89" w14:textId="16AD5224">
      <w:pPr>
        <w:pStyle w:val="ListParagraph"/>
        <w:spacing w:line="480" w:lineRule="auto"/>
        <w:ind w:left="0"/>
        <w:rPr>
          <w:rFonts w:cs="Times New Roman"/>
          <w:szCs w:val="24"/>
        </w:rPr>
      </w:pPr>
      <w:r w:rsidRPr="00631225">
        <w:rPr>
          <w:rFonts w:cs="Times New Roman"/>
          <w:szCs w:val="24"/>
        </w:rPr>
        <w:t>1200 Series SBP</w:t>
      </w:r>
      <w:r w:rsidRPr="00631225" w:rsidDel="00A11CCF" w:rsidR="00A11CCF">
        <w:rPr>
          <w:rFonts w:cs="Times New Roman"/>
          <w:szCs w:val="24"/>
        </w:rPr>
        <w:t xml:space="preserve"> </w:t>
      </w:r>
      <w:r w:rsidRPr="00631225" w:rsidR="0037708E">
        <w:rPr>
          <w:rFonts w:cs="Times New Roman"/>
          <w:szCs w:val="24"/>
        </w:rPr>
        <w:t>at 202</w:t>
      </w:r>
      <w:r w:rsidRPr="00631225" w:rsidR="00A11CCF">
        <w:rPr>
          <w:rFonts w:cs="Times New Roman"/>
          <w:szCs w:val="24"/>
        </w:rPr>
        <w:t xml:space="preserve"> (emphasis added)</w:t>
      </w:r>
      <w:r w:rsidRPr="00631225" w:rsidR="0037708E">
        <w:rPr>
          <w:rFonts w:cs="Times New Roman"/>
          <w:szCs w:val="24"/>
        </w:rPr>
        <w:t>.</w:t>
      </w:r>
      <w:r w:rsidRPr="00631225" w:rsidR="00D13290">
        <w:rPr>
          <w:rFonts w:cs="Times New Roman"/>
          <w:szCs w:val="24"/>
        </w:rPr>
        <w:t xml:space="preserve"> </w:t>
      </w:r>
    </w:p>
    <w:p w:rsidRPr="00631225" w:rsidR="00C9649D" w:rsidP="00137CFF" w:rsidRDefault="00883A8F" w14:paraId="5A0E86F0" w14:textId="603B3F4F">
      <w:pPr>
        <w:pStyle w:val="ListParagraph"/>
        <w:spacing w:line="480" w:lineRule="auto"/>
        <w:ind w:left="0"/>
        <w:rPr>
          <w:rFonts w:cs="Times New Roman"/>
          <w:szCs w:val="24"/>
        </w:rPr>
      </w:pPr>
      <w:r w:rsidRPr="00631225">
        <w:rPr>
          <w:rFonts w:cs="Times New Roman"/>
          <w:szCs w:val="24"/>
        </w:rPr>
        <w:tab/>
      </w:r>
      <w:r w:rsidR="002C4F02">
        <w:rPr>
          <w:rFonts w:cs="Times New Roman"/>
          <w:szCs w:val="24"/>
        </w:rPr>
        <w:t>T</w:t>
      </w:r>
      <w:r w:rsidRPr="002C4F02" w:rsidR="002C4F02">
        <w:rPr>
          <w:rFonts w:cs="Times New Roman"/>
          <w:szCs w:val="24"/>
        </w:rPr>
        <w:t>he Associations</w:t>
      </w:r>
      <w:r w:rsidRPr="00631225" w:rsidR="00D13290">
        <w:rPr>
          <w:rFonts w:cs="Times New Roman"/>
          <w:szCs w:val="24"/>
        </w:rPr>
        <w:t xml:space="preserve"> agree </w:t>
      </w:r>
      <w:r w:rsidRPr="00631225" w:rsidR="00D0000A">
        <w:rPr>
          <w:rFonts w:cs="Times New Roman"/>
          <w:szCs w:val="24"/>
        </w:rPr>
        <w:t>with COGCC’s approach insofar as</w:t>
      </w:r>
      <w:r w:rsidRPr="00631225" w:rsidR="00D13290">
        <w:rPr>
          <w:rFonts w:cs="Times New Roman"/>
          <w:szCs w:val="24"/>
        </w:rPr>
        <w:t xml:space="preserve"> requiring a wildlife mitigation plan </w:t>
      </w:r>
      <w:r w:rsidRPr="00631225" w:rsidR="00074EF4">
        <w:rPr>
          <w:rFonts w:cs="Times New Roman"/>
          <w:szCs w:val="24"/>
        </w:rPr>
        <w:t>or another CPW approved conservation plan and compensatory mitigation for wildlife are</w:t>
      </w:r>
      <w:r w:rsidRPr="00631225">
        <w:rPr>
          <w:rFonts w:cs="Times New Roman"/>
          <w:szCs w:val="24"/>
        </w:rPr>
        <w:t xml:space="preserve"> more thoughtful </w:t>
      </w:r>
      <w:r w:rsidRPr="00631225" w:rsidR="00D0000A">
        <w:rPr>
          <w:rFonts w:cs="Times New Roman"/>
          <w:szCs w:val="24"/>
        </w:rPr>
        <w:t xml:space="preserve">and appropriate </w:t>
      </w:r>
      <w:r w:rsidRPr="00631225">
        <w:rPr>
          <w:rFonts w:cs="Times New Roman"/>
          <w:szCs w:val="24"/>
        </w:rPr>
        <w:t>planning tool</w:t>
      </w:r>
      <w:r w:rsidRPr="00631225" w:rsidR="00074EF4">
        <w:rPr>
          <w:rFonts w:cs="Times New Roman"/>
          <w:szCs w:val="24"/>
        </w:rPr>
        <w:t>s</w:t>
      </w:r>
      <w:r w:rsidRPr="00631225">
        <w:rPr>
          <w:rFonts w:cs="Times New Roman"/>
          <w:szCs w:val="24"/>
        </w:rPr>
        <w:t xml:space="preserve"> </w:t>
      </w:r>
      <w:r w:rsidRPr="00631225" w:rsidR="00D0000A">
        <w:rPr>
          <w:rFonts w:cs="Times New Roman"/>
          <w:szCs w:val="24"/>
        </w:rPr>
        <w:t>than an arbitrary,</w:t>
      </w:r>
      <w:r w:rsidRPr="00631225" w:rsidR="000514DA">
        <w:rPr>
          <w:rFonts w:cs="Times New Roman"/>
          <w:szCs w:val="24"/>
        </w:rPr>
        <w:t xml:space="preserve"> blanket</w:t>
      </w:r>
      <w:r w:rsidRPr="00631225" w:rsidR="00D0000A">
        <w:rPr>
          <w:rFonts w:cs="Times New Roman"/>
          <w:szCs w:val="24"/>
        </w:rPr>
        <w:t xml:space="preserve"> </w:t>
      </w:r>
      <w:r w:rsidRPr="00631225" w:rsidR="00D13290">
        <w:rPr>
          <w:rFonts w:cs="Times New Roman"/>
          <w:szCs w:val="24"/>
        </w:rPr>
        <w:t xml:space="preserve">density limit.  </w:t>
      </w:r>
      <w:r w:rsidRPr="00631225" w:rsidR="00165DDA">
        <w:rPr>
          <w:rFonts w:cs="Times New Roman"/>
          <w:szCs w:val="24"/>
        </w:rPr>
        <w:t>BLM should be mindful</w:t>
      </w:r>
      <w:r w:rsidRPr="00631225" w:rsidR="00B23BD0">
        <w:rPr>
          <w:rFonts w:cs="Times New Roman"/>
          <w:szCs w:val="24"/>
        </w:rPr>
        <w:t xml:space="preserve"> that the Energy Policy Act of 2005</w:t>
      </w:r>
      <w:r w:rsidRPr="00631225" w:rsidR="00165DDA">
        <w:rPr>
          <w:rFonts w:cs="Times New Roman"/>
          <w:szCs w:val="24"/>
        </w:rPr>
        <w:t xml:space="preserve"> provides </w:t>
      </w:r>
      <w:r w:rsidRPr="00631225" w:rsidR="00B23BD0">
        <w:rPr>
          <w:rFonts w:cs="Times New Roman"/>
          <w:szCs w:val="24"/>
        </w:rPr>
        <w:t>that regulations be “only as restrictive as necessary to protect the resource(s) for which they are applied,” 42 U.S.C. § 15992(b)(3)(C),</w:t>
      </w:r>
      <w:r w:rsidRPr="00631225" w:rsidR="00165DDA">
        <w:rPr>
          <w:rFonts w:cs="Times New Roman"/>
          <w:szCs w:val="24"/>
        </w:rPr>
        <w:t xml:space="preserve"> and recognize that </w:t>
      </w:r>
      <w:r w:rsidRPr="00631225" w:rsidR="00D0000A">
        <w:rPr>
          <w:rFonts w:cs="Times New Roman"/>
          <w:szCs w:val="24"/>
        </w:rPr>
        <w:t xml:space="preserve">operators are continuously deploying new technologies, best management practices, and undertaking other actions that allow for development to occur in a manner protective of wildlife and their habitat.  </w:t>
      </w:r>
      <w:r w:rsidRPr="00631225" w:rsidR="00C23C18">
        <w:rPr>
          <w:rFonts w:cs="Times New Roman"/>
          <w:szCs w:val="24"/>
        </w:rPr>
        <w:t>One operator in the Piceance</w:t>
      </w:r>
      <w:r w:rsidR="00786464">
        <w:rPr>
          <w:rFonts w:cs="Times New Roman"/>
          <w:szCs w:val="24"/>
        </w:rPr>
        <w:t xml:space="preserve"> Basin</w:t>
      </w:r>
      <w:r w:rsidRPr="00631225" w:rsidR="00C23C18">
        <w:rPr>
          <w:rFonts w:cs="Times New Roman"/>
          <w:szCs w:val="24"/>
        </w:rPr>
        <w:t xml:space="preserve">, for example, recently permitted a new development comprising four pads in big game habitat, and </w:t>
      </w:r>
      <w:r w:rsidRPr="00631225" w:rsidR="008F20BE">
        <w:rPr>
          <w:rFonts w:cs="Times New Roman"/>
          <w:szCs w:val="24"/>
        </w:rPr>
        <w:t xml:space="preserve">the CPW and BLM </w:t>
      </w:r>
      <w:r w:rsidRPr="00631225" w:rsidR="00C23C18">
        <w:rPr>
          <w:rFonts w:cs="Times New Roman"/>
          <w:szCs w:val="24"/>
        </w:rPr>
        <w:t xml:space="preserve">both </w:t>
      </w:r>
      <w:r w:rsidRPr="00631225" w:rsidR="008F20BE">
        <w:rPr>
          <w:rFonts w:cs="Times New Roman"/>
          <w:szCs w:val="24"/>
        </w:rPr>
        <w:t>concluded</w:t>
      </w:r>
      <w:r w:rsidRPr="00631225" w:rsidR="00C23C18">
        <w:rPr>
          <w:rFonts w:cs="Times New Roman"/>
          <w:szCs w:val="24"/>
        </w:rPr>
        <w:t xml:space="preserve"> that the operator could successfully avoid and mitigate impacts </w:t>
      </w:r>
      <w:r w:rsidRPr="00631225" w:rsidR="008F20BE">
        <w:rPr>
          <w:rFonts w:cs="Times New Roman"/>
          <w:szCs w:val="24"/>
        </w:rPr>
        <w:t>to big game during the course of its operations</w:t>
      </w:r>
      <w:r w:rsidRPr="00631225" w:rsidR="00C23C18">
        <w:rPr>
          <w:rFonts w:cs="Times New Roman"/>
          <w:szCs w:val="24"/>
        </w:rPr>
        <w:t>.</w:t>
      </w:r>
      <w:r w:rsidRPr="00631225" w:rsidR="00D0000A">
        <w:rPr>
          <w:rFonts w:cs="Times New Roman"/>
          <w:szCs w:val="24"/>
        </w:rPr>
        <w:t xml:space="preserve"> </w:t>
      </w:r>
      <w:r w:rsidR="00FF0838">
        <w:rPr>
          <w:rFonts w:cs="Times New Roman"/>
          <w:szCs w:val="24"/>
        </w:rPr>
        <w:t xml:space="preserve"> </w:t>
      </w:r>
      <w:r w:rsidRPr="00631225" w:rsidR="00D0000A">
        <w:rPr>
          <w:rFonts w:cs="Times New Roman"/>
          <w:szCs w:val="24"/>
        </w:rPr>
        <w:t>Because oil and gas development may coexist in a protect</w:t>
      </w:r>
      <w:r w:rsidRPr="00631225" w:rsidR="001A004E">
        <w:rPr>
          <w:rFonts w:cs="Times New Roman"/>
          <w:szCs w:val="24"/>
        </w:rPr>
        <w:t>ive</w:t>
      </w:r>
      <w:r w:rsidRPr="00631225" w:rsidR="00D0000A">
        <w:rPr>
          <w:rFonts w:cs="Times New Roman"/>
          <w:szCs w:val="24"/>
        </w:rPr>
        <w:t xml:space="preserve"> manner of wildlife and their</w:t>
      </w:r>
      <w:r w:rsidRPr="00631225" w:rsidR="001A004E">
        <w:rPr>
          <w:rFonts w:cs="Times New Roman"/>
          <w:szCs w:val="24"/>
        </w:rPr>
        <w:t xml:space="preserve"> </w:t>
      </w:r>
      <w:r w:rsidRPr="00631225" w:rsidR="00D0000A">
        <w:rPr>
          <w:rFonts w:cs="Times New Roman"/>
          <w:szCs w:val="24"/>
        </w:rPr>
        <w:t>habitat, absolute density limitations would frequently be</w:t>
      </w:r>
      <w:r w:rsidRPr="00631225" w:rsidR="00B23BD0">
        <w:rPr>
          <w:rFonts w:cs="Times New Roman"/>
          <w:szCs w:val="24"/>
        </w:rPr>
        <w:t xml:space="preserve"> more restrictive than necessary to protect resources, </w:t>
      </w:r>
      <w:r w:rsidRPr="00631225" w:rsidR="00D0000A">
        <w:rPr>
          <w:rFonts w:cs="Times New Roman"/>
          <w:szCs w:val="24"/>
        </w:rPr>
        <w:t>in contravention of the Energy Policy Act of 2005</w:t>
      </w:r>
      <w:r w:rsidRPr="00631225" w:rsidR="00165DDA">
        <w:rPr>
          <w:rFonts w:cs="Times New Roman"/>
          <w:szCs w:val="24"/>
        </w:rPr>
        <w:t>.</w:t>
      </w:r>
      <w:r w:rsidRPr="00631225" w:rsidR="00601BD0">
        <w:rPr>
          <w:rStyle w:val="FootnoteReference"/>
          <w:rFonts w:cs="Times New Roman"/>
          <w:szCs w:val="24"/>
        </w:rPr>
        <w:footnoteReference w:id="4"/>
      </w:r>
      <w:r w:rsidRPr="00631225" w:rsidR="00D0000A">
        <w:rPr>
          <w:rFonts w:cs="Times New Roman"/>
          <w:szCs w:val="24"/>
        </w:rPr>
        <w:t xml:space="preserve"> </w:t>
      </w:r>
    </w:p>
    <w:p w:rsidRPr="00631225" w:rsidR="00C9649D" w:rsidP="00B87BB1" w:rsidRDefault="00C9649D" w14:paraId="26B71817" w14:textId="1234E9FA">
      <w:pPr>
        <w:pStyle w:val="ListParagraph"/>
        <w:spacing w:line="480" w:lineRule="auto"/>
        <w:ind w:left="0"/>
        <w:rPr>
          <w:rFonts w:cs="Times New Roman"/>
          <w:szCs w:val="24"/>
        </w:rPr>
      </w:pPr>
      <w:r w:rsidRPr="00631225">
        <w:rPr>
          <w:rFonts w:cs="Times New Roman"/>
          <w:szCs w:val="24"/>
        </w:rPr>
        <w:tab/>
        <w:t xml:space="preserve">Moreover, strict density limitations should be </w:t>
      </w:r>
      <w:r w:rsidRPr="00631225" w:rsidR="009C6792">
        <w:rPr>
          <w:rFonts w:cs="Times New Roman"/>
          <w:szCs w:val="24"/>
        </w:rPr>
        <w:t xml:space="preserve">avoided </w:t>
      </w:r>
      <w:r w:rsidRPr="00631225">
        <w:rPr>
          <w:rFonts w:cs="Times New Roman"/>
          <w:szCs w:val="24"/>
        </w:rPr>
        <w:t xml:space="preserve">because they can have the practical effect of precluding mineral development </w:t>
      </w:r>
      <w:r w:rsidRPr="00631225" w:rsidR="009C6792">
        <w:rPr>
          <w:rFonts w:cs="Times New Roman"/>
          <w:szCs w:val="24"/>
        </w:rPr>
        <w:t xml:space="preserve">in the limitation area due to the fact that </w:t>
      </w:r>
      <w:r w:rsidRPr="00631225">
        <w:rPr>
          <w:rFonts w:cs="Times New Roman"/>
          <w:szCs w:val="24"/>
        </w:rPr>
        <w:t xml:space="preserve">not all basins in Colorado </w:t>
      </w:r>
      <w:r w:rsidRPr="00631225" w:rsidR="009C6792">
        <w:rPr>
          <w:rFonts w:cs="Times New Roman"/>
          <w:szCs w:val="24"/>
        </w:rPr>
        <w:t xml:space="preserve">can </w:t>
      </w:r>
      <w:r w:rsidRPr="00631225">
        <w:rPr>
          <w:rFonts w:cs="Times New Roman"/>
          <w:szCs w:val="24"/>
        </w:rPr>
        <w:t xml:space="preserve">accommodate horizontal drilling practices.  For example, the vast majority of wells drilled in the Piceance Basin are drilled directionally.  A strict </w:t>
      </w:r>
      <w:r w:rsidRPr="00631225" w:rsidR="009C6792">
        <w:rPr>
          <w:rFonts w:cs="Times New Roman"/>
          <w:szCs w:val="24"/>
        </w:rPr>
        <w:t xml:space="preserve">density </w:t>
      </w:r>
      <w:r w:rsidRPr="00631225">
        <w:rPr>
          <w:rFonts w:cs="Times New Roman"/>
          <w:szCs w:val="24"/>
        </w:rPr>
        <w:t xml:space="preserve">limit of one oil and gas location </w:t>
      </w:r>
      <w:r w:rsidRPr="00631225" w:rsidR="004A14DD">
        <w:rPr>
          <w:rFonts w:cs="Times New Roman"/>
          <w:szCs w:val="24"/>
        </w:rPr>
        <w:t xml:space="preserve">in a certain </w:t>
      </w:r>
      <w:r w:rsidRPr="00631225" w:rsidR="009C6792">
        <w:rPr>
          <w:rFonts w:cs="Times New Roman"/>
          <w:szCs w:val="24"/>
        </w:rPr>
        <w:t>area could pre</w:t>
      </w:r>
      <w:r w:rsidRPr="00631225" w:rsidR="008E67FE">
        <w:rPr>
          <w:rFonts w:cs="Times New Roman"/>
          <w:szCs w:val="24"/>
        </w:rPr>
        <w:t xml:space="preserve">vent </w:t>
      </w:r>
      <w:r w:rsidRPr="00631225" w:rsidR="00D5098D">
        <w:rPr>
          <w:rFonts w:cs="Times New Roman"/>
          <w:szCs w:val="24"/>
        </w:rPr>
        <w:t xml:space="preserve">operators in this </w:t>
      </w:r>
      <w:r w:rsidR="00786464">
        <w:rPr>
          <w:rFonts w:cs="Times New Roman"/>
          <w:szCs w:val="24"/>
        </w:rPr>
        <w:t xml:space="preserve">area </w:t>
      </w:r>
      <w:r w:rsidRPr="00AB24C1" w:rsidR="00AB24C1">
        <w:rPr>
          <w:rFonts w:cs="Times New Roman"/>
          <w:szCs w:val="24"/>
        </w:rPr>
        <w:t xml:space="preserve">from being able to develop the minerals within that geographic unit, to operate economically, or to operate efficiently with as limited a footprint on the land as possible.  </w:t>
      </w:r>
      <w:r w:rsidRPr="00631225" w:rsidR="004A14DD">
        <w:rPr>
          <w:rFonts w:cs="Times New Roman"/>
          <w:szCs w:val="24"/>
        </w:rPr>
        <w:t xml:space="preserve">Additionally, because operators need to locate their wells’ support facilities, too, limiting development to one oil and gas location </w:t>
      </w:r>
      <w:r w:rsidRPr="00631225" w:rsidR="00A70945">
        <w:rPr>
          <w:rFonts w:cs="Times New Roman"/>
          <w:szCs w:val="24"/>
        </w:rPr>
        <w:t xml:space="preserve">in a certain area </w:t>
      </w:r>
      <w:r w:rsidRPr="00631225" w:rsidR="004A14DD">
        <w:rPr>
          <w:rFonts w:cs="Times New Roman"/>
          <w:szCs w:val="24"/>
        </w:rPr>
        <w:t xml:space="preserve">may have the unintended consequence of forcing operators to create extremely large pads to accommodate both </w:t>
      </w:r>
      <w:r w:rsidRPr="00631225" w:rsidR="00BE62D3">
        <w:rPr>
          <w:rFonts w:cs="Times New Roman"/>
          <w:szCs w:val="24"/>
        </w:rPr>
        <w:t xml:space="preserve">very </w:t>
      </w:r>
      <w:r w:rsidR="00AB24C1">
        <w:rPr>
          <w:rFonts w:cs="Times New Roman"/>
          <w:szCs w:val="24"/>
        </w:rPr>
        <w:t xml:space="preserve">large </w:t>
      </w:r>
      <w:r w:rsidRPr="00631225" w:rsidR="00BE62D3">
        <w:rPr>
          <w:rFonts w:cs="Times New Roman"/>
          <w:szCs w:val="24"/>
        </w:rPr>
        <w:t xml:space="preserve">numbers of </w:t>
      </w:r>
      <w:r w:rsidRPr="00631225" w:rsidR="004A14DD">
        <w:rPr>
          <w:rFonts w:cs="Times New Roman"/>
          <w:szCs w:val="24"/>
        </w:rPr>
        <w:t xml:space="preserve">wells and </w:t>
      </w:r>
      <w:r w:rsidRPr="00631225" w:rsidR="00BE62D3">
        <w:rPr>
          <w:rFonts w:cs="Times New Roman"/>
          <w:szCs w:val="24"/>
        </w:rPr>
        <w:t xml:space="preserve">their </w:t>
      </w:r>
      <w:r w:rsidRPr="00631225" w:rsidR="004A14DD">
        <w:rPr>
          <w:rFonts w:cs="Times New Roman"/>
          <w:szCs w:val="24"/>
        </w:rPr>
        <w:t>support facilities</w:t>
      </w:r>
      <w:r w:rsidRPr="00631225" w:rsidR="00BE62D3">
        <w:rPr>
          <w:rFonts w:cs="Times New Roman"/>
          <w:szCs w:val="24"/>
        </w:rPr>
        <w:t xml:space="preserve">. </w:t>
      </w:r>
      <w:r w:rsidR="00FF0838">
        <w:rPr>
          <w:rFonts w:cs="Times New Roman"/>
          <w:szCs w:val="24"/>
        </w:rPr>
        <w:t xml:space="preserve"> </w:t>
      </w:r>
      <w:r w:rsidRPr="00631225" w:rsidR="00BD786A">
        <w:rPr>
          <w:rFonts w:cs="Times New Roman"/>
          <w:szCs w:val="24"/>
        </w:rPr>
        <w:t>Currently</w:t>
      </w:r>
      <w:r w:rsidRPr="00631225" w:rsidR="00A70945">
        <w:rPr>
          <w:rFonts w:cs="Times New Roman"/>
          <w:szCs w:val="24"/>
        </w:rPr>
        <w:t xml:space="preserve">, through close collaboration with BLM and CPW, </w:t>
      </w:r>
      <w:r w:rsidRPr="00631225" w:rsidR="00BD786A">
        <w:rPr>
          <w:rFonts w:cs="Times New Roman"/>
          <w:szCs w:val="24"/>
        </w:rPr>
        <w:t xml:space="preserve">many operators </w:t>
      </w:r>
      <w:r w:rsidRPr="00631225" w:rsidR="00A70945">
        <w:rPr>
          <w:rFonts w:cs="Times New Roman"/>
          <w:szCs w:val="24"/>
        </w:rPr>
        <w:t>employ Centralized Plans of Development (“CPODs”), which allow operators to remotely develop well pads from centralized support pads, e.g.</w:t>
      </w:r>
      <w:r w:rsidR="00786464">
        <w:rPr>
          <w:rFonts w:cs="Times New Roman"/>
          <w:szCs w:val="24"/>
        </w:rPr>
        <w:t>,</w:t>
      </w:r>
      <w:r w:rsidRPr="00631225" w:rsidR="00A70945">
        <w:rPr>
          <w:rFonts w:cs="Times New Roman"/>
          <w:szCs w:val="24"/>
        </w:rPr>
        <w:t xml:space="preserve"> have </w:t>
      </w:r>
      <w:r w:rsidRPr="00631225" w:rsidR="00BD786A">
        <w:rPr>
          <w:rFonts w:cs="Times New Roman"/>
          <w:szCs w:val="24"/>
        </w:rPr>
        <w:t>support facility pad</w:t>
      </w:r>
      <w:r w:rsidRPr="00631225" w:rsidR="00BE62D3">
        <w:rPr>
          <w:rFonts w:cs="Times New Roman"/>
          <w:szCs w:val="24"/>
        </w:rPr>
        <w:t>s such that each support facility pad</w:t>
      </w:r>
      <w:r w:rsidRPr="00631225" w:rsidR="00BD786A">
        <w:rPr>
          <w:rFonts w:cs="Times New Roman"/>
          <w:szCs w:val="24"/>
        </w:rPr>
        <w:t xml:space="preserve"> </w:t>
      </w:r>
      <w:r w:rsidRPr="00631225" w:rsidR="00BE62D3">
        <w:rPr>
          <w:rFonts w:cs="Times New Roman"/>
          <w:szCs w:val="24"/>
        </w:rPr>
        <w:t>services</w:t>
      </w:r>
      <w:r w:rsidRPr="00631225" w:rsidR="00BD786A">
        <w:rPr>
          <w:rFonts w:cs="Times New Roman"/>
          <w:szCs w:val="24"/>
        </w:rPr>
        <w:t xml:space="preserve"> multiple well pads.  </w:t>
      </w:r>
      <w:r w:rsidRPr="00631225" w:rsidR="008F20BE">
        <w:rPr>
          <w:rFonts w:cs="Times New Roman"/>
          <w:szCs w:val="24"/>
        </w:rPr>
        <w:t>Strict density limitations could hinder this highly desirable and environmentally beneficial practice of using CPODs by operators, resulting in an increase in disturbed habitat and a proliferation of</w:t>
      </w:r>
      <w:r w:rsidRPr="00631225" w:rsidR="00B87BB1">
        <w:rPr>
          <w:rFonts w:cs="Times New Roman"/>
          <w:szCs w:val="24"/>
        </w:rPr>
        <w:t xml:space="preserve"> duplicative </w:t>
      </w:r>
      <w:r w:rsidRPr="00631225" w:rsidR="00BD786A">
        <w:rPr>
          <w:rFonts w:cs="Times New Roman"/>
          <w:szCs w:val="24"/>
        </w:rPr>
        <w:t>support facility equipment</w:t>
      </w:r>
      <w:r w:rsidRPr="00631225" w:rsidR="00047D5F">
        <w:rPr>
          <w:rFonts w:cs="Times New Roman"/>
          <w:szCs w:val="24"/>
        </w:rPr>
        <w:t xml:space="preserve"> </w:t>
      </w:r>
      <w:r w:rsidRPr="00631225" w:rsidR="00BE62D3">
        <w:rPr>
          <w:rFonts w:cs="Times New Roman"/>
          <w:szCs w:val="24"/>
        </w:rPr>
        <w:t xml:space="preserve">at each </w:t>
      </w:r>
      <w:r w:rsidRPr="00631225" w:rsidR="00B87BB1">
        <w:rPr>
          <w:rFonts w:cs="Times New Roman"/>
          <w:szCs w:val="24"/>
        </w:rPr>
        <w:t xml:space="preserve">individual </w:t>
      </w:r>
      <w:r w:rsidRPr="00631225" w:rsidR="00BE62D3">
        <w:rPr>
          <w:rFonts w:cs="Times New Roman"/>
          <w:szCs w:val="24"/>
        </w:rPr>
        <w:t>well pad</w:t>
      </w:r>
      <w:r w:rsidRPr="00631225" w:rsidR="00BD786A">
        <w:rPr>
          <w:rFonts w:cs="Times New Roman"/>
          <w:szCs w:val="24"/>
        </w:rPr>
        <w:t xml:space="preserve">.   </w:t>
      </w:r>
    </w:p>
    <w:p w:rsidRPr="00631225" w:rsidR="00A4105C" w:rsidP="00137CFF" w:rsidRDefault="00C9649D" w14:paraId="5923FD99" w14:textId="3BF78D24">
      <w:pPr>
        <w:pStyle w:val="ListParagraph"/>
        <w:spacing w:line="480" w:lineRule="auto"/>
        <w:ind w:left="0"/>
        <w:rPr>
          <w:rFonts w:cs="Times New Roman"/>
          <w:szCs w:val="24"/>
        </w:rPr>
      </w:pPr>
      <w:r w:rsidRPr="00631225">
        <w:rPr>
          <w:rFonts w:cs="Times New Roman"/>
          <w:szCs w:val="24"/>
        </w:rPr>
        <w:tab/>
      </w:r>
      <w:r w:rsidRPr="00631225" w:rsidR="00B87BB1">
        <w:rPr>
          <w:rFonts w:cs="Times New Roman"/>
          <w:szCs w:val="24"/>
        </w:rPr>
        <w:t xml:space="preserve">Instead, </w:t>
      </w:r>
      <w:r w:rsidRPr="00631225" w:rsidR="00D0210D">
        <w:rPr>
          <w:rFonts w:cs="Times New Roman"/>
          <w:szCs w:val="24"/>
        </w:rPr>
        <w:t>BLM should adopt a flexible approach such that any planning alternative involving a density limitation would, like COGCC Rule 1202.d., allow for exceedances of the limitation where wildlife experts</w:t>
      </w:r>
      <w:r w:rsidR="00AB24C1">
        <w:rPr>
          <w:rFonts w:cs="Times New Roman"/>
          <w:szCs w:val="24"/>
        </w:rPr>
        <w:t>—CPW and, where applicable, BLM—</w:t>
      </w:r>
      <w:r w:rsidRPr="00631225" w:rsidR="00D0210D">
        <w:rPr>
          <w:rFonts w:cs="Times New Roman"/>
          <w:szCs w:val="24"/>
        </w:rPr>
        <w:t xml:space="preserve">agree that site-specific minimization and mitigation measures will protect the relevant resources.  Such an approach should allow easy coordination with COGCC’s 1200 </w:t>
      </w:r>
      <w:r w:rsidRPr="00631225" w:rsidR="00631225">
        <w:rPr>
          <w:rFonts w:cs="Times New Roman"/>
          <w:szCs w:val="24"/>
        </w:rPr>
        <w:t>S</w:t>
      </w:r>
      <w:r w:rsidRPr="00631225" w:rsidR="00D0210D">
        <w:rPr>
          <w:rFonts w:cs="Times New Roman"/>
          <w:szCs w:val="24"/>
        </w:rPr>
        <w:t>eries and honor the</w:t>
      </w:r>
      <w:r w:rsidRPr="00631225" w:rsidR="00883A8F">
        <w:rPr>
          <w:rFonts w:cs="Times New Roman"/>
          <w:szCs w:val="24"/>
        </w:rPr>
        <w:t xml:space="preserve"> </w:t>
      </w:r>
      <w:r w:rsidRPr="00631225" w:rsidR="0057707C">
        <w:rPr>
          <w:rFonts w:cs="Times New Roman"/>
          <w:szCs w:val="24"/>
        </w:rPr>
        <w:t>binding federal directives</w:t>
      </w:r>
      <w:r w:rsidRPr="00631225" w:rsidR="00883A8F">
        <w:rPr>
          <w:rFonts w:cs="Times New Roman"/>
          <w:szCs w:val="24"/>
        </w:rPr>
        <w:t xml:space="preserve"> </w:t>
      </w:r>
      <w:r w:rsidRPr="00631225" w:rsidR="0057707C">
        <w:rPr>
          <w:rFonts w:cs="Times New Roman"/>
          <w:szCs w:val="24"/>
        </w:rPr>
        <w:t>to engage in a</w:t>
      </w:r>
      <w:r w:rsidRPr="00631225" w:rsidR="00616B2C">
        <w:rPr>
          <w:rFonts w:cs="Times New Roman"/>
          <w:szCs w:val="24"/>
        </w:rPr>
        <w:t>n amendment process</w:t>
      </w:r>
      <w:r w:rsidRPr="00631225" w:rsidR="0057707C">
        <w:rPr>
          <w:rFonts w:cs="Times New Roman"/>
          <w:szCs w:val="24"/>
        </w:rPr>
        <w:t xml:space="preserve"> that </w:t>
      </w:r>
      <w:r w:rsidRPr="00631225" w:rsidR="0037422E">
        <w:rPr>
          <w:rFonts w:cs="Times New Roman"/>
          <w:szCs w:val="24"/>
        </w:rPr>
        <w:t xml:space="preserve">promotes “consistency” among the federal government and the state.  </w:t>
      </w:r>
      <w:r w:rsidRPr="00631225" w:rsidR="00D0210D">
        <w:rPr>
          <w:rFonts w:cs="Times New Roman"/>
          <w:i/>
          <w:iCs/>
          <w:szCs w:val="24"/>
        </w:rPr>
        <w:t>See</w:t>
      </w:r>
      <w:r w:rsidRPr="00631225" w:rsidR="00D0210D">
        <w:rPr>
          <w:rFonts w:cs="Times New Roman"/>
          <w:szCs w:val="24"/>
        </w:rPr>
        <w:t xml:space="preserve"> Scoping Brochure at 2 (“A driver for this amendment is to evaluate land use planning decisions to be consistent with the [COGCC] rulemaking, which adopted new rules [1200 series] regulating the permitting, development, and operation of oil and gas facilities in wildlife habitat.”</w:t>
      </w:r>
      <w:r w:rsidRPr="00631225" w:rsidR="00AF46D4">
        <w:rPr>
          <w:rFonts w:cs="Times New Roman"/>
          <w:szCs w:val="24"/>
        </w:rPr>
        <w:t>).</w:t>
      </w:r>
    </w:p>
    <w:p w:rsidRPr="00631225" w:rsidR="00BC32F3" w:rsidP="00BC32F3" w:rsidRDefault="00BC32F3" w14:paraId="54C4CF37" w14:textId="1300C675">
      <w:pPr>
        <w:pStyle w:val="ListParagraph"/>
        <w:numPr>
          <w:ilvl w:val="0"/>
          <w:numId w:val="19"/>
        </w:numPr>
        <w:rPr>
          <w:rFonts w:cs="Times New Roman"/>
          <w:b/>
          <w:bCs/>
          <w:szCs w:val="24"/>
        </w:rPr>
      </w:pPr>
      <w:r w:rsidRPr="00631225">
        <w:rPr>
          <w:rFonts w:cs="Times New Roman"/>
          <w:b/>
          <w:bCs/>
          <w:szCs w:val="24"/>
        </w:rPr>
        <w:t xml:space="preserve">Closing Areas to Oil and Gas Leasing is an Extreme </w:t>
      </w:r>
      <w:r w:rsidRPr="00631225" w:rsidR="00726D8E">
        <w:rPr>
          <w:rFonts w:cs="Times New Roman"/>
          <w:b/>
          <w:bCs/>
          <w:szCs w:val="24"/>
        </w:rPr>
        <w:t>Constraint</w:t>
      </w:r>
      <w:r w:rsidRPr="00631225">
        <w:rPr>
          <w:rFonts w:cs="Times New Roman"/>
          <w:b/>
          <w:bCs/>
          <w:szCs w:val="24"/>
        </w:rPr>
        <w:t xml:space="preserve"> </w:t>
      </w:r>
      <w:r w:rsidR="00786464">
        <w:rPr>
          <w:rFonts w:cs="Times New Roman"/>
          <w:b/>
          <w:bCs/>
          <w:szCs w:val="24"/>
        </w:rPr>
        <w:t>a</w:t>
      </w:r>
      <w:r w:rsidRPr="00631225">
        <w:rPr>
          <w:rFonts w:cs="Times New Roman"/>
          <w:b/>
          <w:bCs/>
          <w:szCs w:val="24"/>
        </w:rPr>
        <w:t>nd Should Not Be an Explored Alternative</w:t>
      </w:r>
      <w:r w:rsidRPr="00631225" w:rsidR="00AF46D4">
        <w:rPr>
          <w:rFonts w:cs="Times New Roman"/>
          <w:b/>
          <w:bCs/>
          <w:szCs w:val="24"/>
        </w:rPr>
        <w:t>.</w:t>
      </w:r>
    </w:p>
    <w:p w:rsidRPr="00631225" w:rsidR="00BC32F3" w:rsidP="00BC32F3" w:rsidRDefault="00BC32F3" w14:paraId="1D4E5BC1" w14:textId="77777777">
      <w:pPr>
        <w:rPr>
          <w:rFonts w:cs="Times New Roman"/>
          <w:szCs w:val="24"/>
        </w:rPr>
      </w:pPr>
    </w:p>
    <w:p w:rsidRPr="00631225" w:rsidR="00726D8E" w:rsidP="00FD1834" w:rsidRDefault="00FD1834" w14:paraId="6222CEBB" w14:textId="3331DFCB">
      <w:pPr>
        <w:spacing w:line="480" w:lineRule="auto"/>
        <w:rPr>
          <w:rFonts w:cs="Times New Roman"/>
          <w:szCs w:val="24"/>
        </w:rPr>
      </w:pPr>
      <w:r w:rsidRPr="00631225">
        <w:rPr>
          <w:rFonts w:cs="Times New Roman"/>
          <w:szCs w:val="24"/>
        </w:rPr>
        <w:tab/>
        <w:t>The Notice of Intent states BLM “may consider closure of areas to future oil and gas leasing as part of the plan amendment.”  In contrast to density limitations, which the Notice of Intent states BLM “will” consider, consideration of closing areas to future leasing is permissive</w:t>
      </w:r>
      <w:r w:rsidR="00AB24C1">
        <w:rPr>
          <w:rFonts w:cs="Times New Roman"/>
          <w:szCs w:val="24"/>
        </w:rPr>
        <w:t xml:space="preserve"> and should not be a goal of the amendment</w:t>
      </w:r>
      <w:r w:rsidRPr="00631225">
        <w:rPr>
          <w:rFonts w:cs="Times New Roman"/>
          <w:szCs w:val="24"/>
        </w:rPr>
        <w:t xml:space="preserve">.  </w:t>
      </w:r>
      <w:r w:rsidR="002C4F02">
        <w:rPr>
          <w:rFonts w:cs="Times New Roman"/>
          <w:szCs w:val="24"/>
        </w:rPr>
        <w:t>T</w:t>
      </w:r>
      <w:r w:rsidRPr="002C4F02" w:rsidR="002C4F02">
        <w:rPr>
          <w:rFonts w:cs="Times New Roman"/>
          <w:szCs w:val="24"/>
        </w:rPr>
        <w:t>he Associations</w:t>
      </w:r>
      <w:r w:rsidRPr="00631225">
        <w:rPr>
          <w:rFonts w:cs="Times New Roman"/>
          <w:szCs w:val="24"/>
        </w:rPr>
        <w:t xml:space="preserve"> urge BLM not to explore an alternative that would close areas to future leasing.  Such an alternative is not required by any of the implementing Secretarial or Executive Orders</w:t>
      </w:r>
      <w:r w:rsidRPr="00631225" w:rsidR="00202608">
        <w:rPr>
          <w:rFonts w:cs="Times New Roman"/>
          <w:szCs w:val="24"/>
        </w:rPr>
        <w:t>, the applicable settlement agreement,</w:t>
      </w:r>
      <w:r w:rsidRPr="00631225">
        <w:rPr>
          <w:rFonts w:cs="Times New Roman"/>
          <w:szCs w:val="24"/>
        </w:rPr>
        <w:t xml:space="preserve"> or any other source of law.  For many of the same reasons why strict density limits are inappropriate, so, too, are rigid policies precluding areas from oil and gas leasing.</w:t>
      </w:r>
      <w:r w:rsidR="00FF0838">
        <w:rPr>
          <w:rFonts w:cs="Times New Roman"/>
          <w:szCs w:val="24"/>
        </w:rPr>
        <w:t xml:space="preserve"> </w:t>
      </w:r>
      <w:r w:rsidRPr="00631225">
        <w:rPr>
          <w:rFonts w:cs="Times New Roman"/>
          <w:szCs w:val="24"/>
        </w:rPr>
        <w:t xml:space="preserve"> </w:t>
      </w:r>
      <w:r w:rsidRPr="00631225" w:rsidR="00B87BB1">
        <w:rPr>
          <w:rFonts w:cs="Times New Roman"/>
          <w:szCs w:val="24"/>
        </w:rPr>
        <w:t>Instead,</w:t>
      </w:r>
      <w:r w:rsidRPr="00631225" w:rsidR="00726D8E">
        <w:rPr>
          <w:rFonts w:cs="Times New Roman"/>
          <w:szCs w:val="24"/>
        </w:rPr>
        <w:t xml:space="preserve"> leases should be evaluated on a site-specific basis</w:t>
      </w:r>
      <w:r w:rsidR="00AB24C1">
        <w:rPr>
          <w:rFonts w:cs="Times New Roman"/>
          <w:szCs w:val="24"/>
        </w:rPr>
        <w:t xml:space="preserve">, </w:t>
      </w:r>
      <w:r w:rsidRPr="00AB24C1" w:rsidR="00AB24C1">
        <w:rPr>
          <w:rFonts w:cs="Times New Roman"/>
          <w:szCs w:val="24"/>
        </w:rPr>
        <w:t>placing stipulations on leases as appropriate, rather than imposing strict removal of minerals from leasing.</w:t>
      </w:r>
      <w:r w:rsidR="00FF0838">
        <w:rPr>
          <w:rFonts w:cs="Times New Roman"/>
          <w:szCs w:val="24"/>
        </w:rPr>
        <w:t xml:space="preserve"> </w:t>
      </w:r>
      <w:r w:rsidRPr="00AB24C1" w:rsidR="00AB24C1">
        <w:rPr>
          <w:rFonts w:cs="Times New Roman"/>
          <w:szCs w:val="24"/>
        </w:rPr>
        <w:t xml:space="preserve"> Removal is often “more restrictive than necessary,” see 42 U.S.C. § 15992(b)(3)(C), to protect big game high priority habitat.</w:t>
      </w:r>
    </w:p>
    <w:p w:rsidRPr="00631225" w:rsidR="00C40AFA" w:rsidP="00601BD0" w:rsidRDefault="00C40AFA" w14:paraId="6C61D10B" w14:textId="77777777">
      <w:pPr>
        <w:pStyle w:val="ListParagraph"/>
        <w:numPr>
          <w:ilvl w:val="0"/>
          <w:numId w:val="19"/>
        </w:numPr>
        <w:spacing w:after="160" w:line="259" w:lineRule="auto"/>
        <w:rPr>
          <w:rFonts w:cs="Times New Roman"/>
          <w:b/>
          <w:bCs/>
          <w:szCs w:val="24"/>
        </w:rPr>
      </w:pPr>
      <w:r w:rsidRPr="00631225">
        <w:rPr>
          <w:rFonts w:cs="Times New Roman"/>
          <w:b/>
          <w:bCs/>
          <w:szCs w:val="24"/>
        </w:rPr>
        <w:t>BLM’s Approach to Coordinating with the State and Making Federal Planning Decisions Must Be Informed By the Latest Scientific Literature.</w:t>
      </w:r>
    </w:p>
    <w:p w:rsidRPr="00631225" w:rsidR="00C33B79" w:rsidP="00C40AFA" w:rsidRDefault="00C40AFA" w14:paraId="7F9D8F86" w14:textId="1B634823">
      <w:pPr>
        <w:spacing w:after="160" w:line="480" w:lineRule="auto"/>
        <w:rPr>
          <w:rFonts w:cs="Times New Roman"/>
          <w:szCs w:val="24"/>
        </w:rPr>
      </w:pPr>
      <w:r w:rsidRPr="00631225">
        <w:rPr>
          <w:rFonts w:cs="Times New Roman"/>
          <w:b/>
          <w:bCs/>
          <w:szCs w:val="24"/>
        </w:rPr>
        <w:tab/>
      </w:r>
      <w:r w:rsidRPr="00631225" w:rsidR="008628EA">
        <w:rPr>
          <w:rFonts w:cs="Times New Roman"/>
          <w:szCs w:val="24"/>
        </w:rPr>
        <w:t xml:space="preserve">As described above in Section I, </w:t>
      </w:r>
      <w:r w:rsidR="002C4F02">
        <w:rPr>
          <w:rFonts w:cs="Times New Roman"/>
          <w:szCs w:val="24"/>
        </w:rPr>
        <w:t>t</w:t>
      </w:r>
      <w:r w:rsidRPr="002C4F02" w:rsidR="002C4F02">
        <w:rPr>
          <w:rFonts w:cs="Times New Roman"/>
          <w:szCs w:val="24"/>
        </w:rPr>
        <w:t>he Associations</w:t>
      </w:r>
      <w:r w:rsidRPr="00631225">
        <w:rPr>
          <w:rFonts w:cs="Times New Roman"/>
          <w:szCs w:val="24"/>
        </w:rPr>
        <w:t xml:space="preserve"> firmly believe that an amendment alternative requiring BLM to defer to state regulations is the alternative that best protects big game habitat in a reasonable manner that is not “more restrictive than necessary.” </w:t>
      </w:r>
      <w:r w:rsidRPr="00631225">
        <w:rPr>
          <w:rFonts w:cs="Times New Roman"/>
          <w:i/>
          <w:iCs/>
          <w:szCs w:val="24"/>
        </w:rPr>
        <w:t xml:space="preserve">See </w:t>
      </w:r>
      <w:r w:rsidRPr="00631225">
        <w:rPr>
          <w:rFonts w:cs="Times New Roman"/>
          <w:szCs w:val="24"/>
        </w:rPr>
        <w:t xml:space="preserve">42 U.S.C. § 15992(b)(3)(C).  </w:t>
      </w:r>
      <w:r w:rsidR="002C4F02">
        <w:rPr>
          <w:rFonts w:cs="Times New Roman"/>
          <w:szCs w:val="24"/>
        </w:rPr>
        <w:t>T</w:t>
      </w:r>
      <w:r w:rsidRPr="002C4F02" w:rsidR="002C4F02">
        <w:rPr>
          <w:rFonts w:cs="Times New Roman"/>
          <w:szCs w:val="24"/>
        </w:rPr>
        <w:t>he Associations</w:t>
      </w:r>
      <w:r w:rsidR="002C4F02">
        <w:rPr>
          <w:rFonts w:cs="Times New Roman"/>
          <w:b/>
          <w:bCs/>
          <w:szCs w:val="24"/>
        </w:rPr>
        <w:t xml:space="preserve"> </w:t>
      </w:r>
      <w:r w:rsidR="002C4F02">
        <w:rPr>
          <w:rFonts w:cs="Times New Roman"/>
          <w:szCs w:val="24"/>
        </w:rPr>
        <w:t xml:space="preserve">recognize </w:t>
      </w:r>
      <w:r w:rsidRPr="00631225" w:rsidR="00E80BD9">
        <w:rPr>
          <w:rFonts w:cs="Times New Roman"/>
          <w:szCs w:val="24"/>
        </w:rPr>
        <w:t xml:space="preserve">and agree, </w:t>
      </w:r>
      <w:r w:rsidRPr="00631225" w:rsidR="00EB3AC6">
        <w:rPr>
          <w:rFonts w:cs="Times New Roman"/>
          <w:szCs w:val="24"/>
        </w:rPr>
        <w:t>however</w:t>
      </w:r>
      <w:r w:rsidRPr="00631225" w:rsidR="00E80BD9">
        <w:rPr>
          <w:rFonts w:cs="Times New Roman"/>
          <w:szCs w:val="24"/>
        </w:rPr>
        <w:t xml:space="preserve">, that BLM is an important partner </w:t>
      </w:r>
      <w:r w:rsidRPr="00631225" w:rsidR="00EB3AC6">
        <w:rPr>
          <w:rFonts w:cs="Times New Roman"/>
          <w:szCs w:val="24"/>
        </w:rPr>
        <w:t>with the state.</w:t>
      </w:r>
      <w:r w:rsidRPr="00631225" w:rsidR="00E80BD9">
        <w:rPr>
          <w:rFonts w:cs="Times New Roman"/>
          <w:szCs w:val="24"/>
        </w:rPr>
        <w:t xml:space="preserve">  </w:t>
      </w:r>
      <w:r w:rsidRPr="00631225" w:rsidR="00E80BD9">
        <w:rPr>
          <w:rFonts w:cs="Times New Roman"/>
          <w:i/>
          <w:iCs/>
          <w:szCs w:val="24"/>
        </w:rPr>
        <w:t xml:space="preserve">See </w:t>
      </w:r>
      <w:r w:rsidRPr="00631225" w:rsidR="00E80BD9">
        <w:rPr>
          <w:rFonts w:cs="Times New Roman"/>
          <w:szCs w:val="24"/>
        </w:rPr>
        <w:t xml:space="preserve">Section I, </w:t>
      </w:r>
      <w:r w:rsidRPr="00631225" w:rsidR="00E80BD9">
        <w:rPr>
          <w:rFonts w:cs="Times New Roman"/>
          <w:i/>
          <w:iCs/>
          <w:szCs w:val="24"/>
        </w:rPr>
        <w:t>supra</w:t>
      </w:r>
      <w:r w:rsidRPr="00631225" w:rsidR="00E80BD9">
        <w:rPr>
          <w:rFonts w:cs="Times New Roman"/>
          <w:szCs w:val="24"/>
        </w:rPr>
        <w:t>.</w:t>
      </w:r>
      <w:r w:rsidRPr="00631225" w:rsidR="00EB3AC6">
        <w:rPr>
          <w:rFonts w:cs="Times New Roman"/>
          <w:szCs w:val="24"/>
        </w:rPr>
        <w:t xml:space="preserve">  As BLM creates policies that will guide its decision-making and its collaboration </w:t>
      </w:r>
      <w:r w:rsidRPr="00631225" w:rsidR="00CC1FE7">
        <w:rPr>
          <w:rFonts w:cs="Times New Roman"/>
          <w:szCs w:val="24"/>
        </w:rPr>
        <w:t xml:space="preserve">and consultation </w:t>
      </w:r>
      <w:r w:rsidRPr="00631225" w:rsidR="00EB3AC6">
        <w:rPr>
          <w:rFonts w:cs="Times New Roman"/>
          <w:szCs w:val="24"/>
        </w:rPr>
        <w:t xml:space="preserve">with the state, </w:t>
      </w:r>
      <w:r w:rsidR="002C4F02">
        <w:rPr>
          <w:rFonts w:cs="Times New Roman"/>
          <w:szCs w:val="24"/>
        </w:rPr>
        <w:t>t</w:t>
      </w:r>
      <w:r w:rsidRPr="002C4F02" w:rsidR="002C4F02">
        <w:rPr>
          <w:rFonts w:cs="Times New Roman"/>
          <w:szCs w:val="24"/>
        </w:rPr>
        <w:t>he Associations</w:t>
      </w:r>
      <w:r w:rsidRPr="00631225" w:rsidR="00EB3AC6">
        <w:rPr>
          <w:rFonts w:cs="Times New Roman"/>
          <w:szCs w:val="24"/>
        </w:rPr>
        <w:t xml:space="preserve"> emphasize the importance of BLM considering the latest and best available data.</w:t>
      </w:r>
      <w:r w:rsidR="00FF0838">
        <w:rPr>
          <w:rFonts w:cs="Times New Roman"/>
          <w:szCs w:val="24"/>
        </w:rPr>
        <w:t xml:space="preserve"> </w:t>
      </w:r>
      <w:r w:rsidRPr="00631225" w:rsidR="00EB3AC6">
        <w:rPr>
          <w:rFonts w:cs="Times New Roman"/>
          <w:szCs w:val="24"/>
        </w:rPr>
        <w:t xml:space="preserve"> </w:t>
      </w:r>
      <w:r w:rsidRPr="00631225" w:rsidR="00C33B79">
        <w:rPr>
          <w:rFonts w:cs="Times New Roman"/>
          <w:szCs w:val="24"/>
        </w:rPr>
        <w:t>We urge BLM to</w:t>
      </w:r>
      <w:r w:rsidRPr="00631225" w:rsidR="00EB3AC6">
        <w:rPr>
          <w:rFonts w:cs="Times New Roman"/>
          <w:szCs w:val="24"/>
        </w:rPr>
        <w:t xml:space="preserve"> </w:t>
      </w:r>
      <w:r w:rsidRPr="00631225" w:rsidR="00C33B79">
        <w:rPr>
          <w:rFonts w:cs="Times New Roman"/>
          <w:szCs w:val="24"/>
        </w:rPr>
        <w:t xml:space="preserve">consider the following </w:t>
      </w:r>
      <w:r w:rsidRPr="00631225" w:rsidR="00E17F54">
        <w:rPr>
          <w:rFonts w:cs="Times New Roman"/>
          <w:szCs w:val="24"/>
        </w:rPr>
        <w:t>science-supported issues in particular.</w:t>
      </w:r>
    </w:p>
    <w:p w:rsidRPr="00631225" w:rsidR="008C3549" w:rsidP="008C3549" w:rsidRDefault="00C33B79" w14:paraId="5A9803AF" w14:textId="77777777">
      <w:pPr>
        <w:pStyle w:val="ListParagraph"/>
        <w:numPr>
          <w:ilvl w:val="0"/>
          <w:numId w:val="22"/>
        </w:numPr>
        <w:spacing w:after="160"/>
        <w:ind w:left="1498"/>
        <w:rPr>
          <w:rFonts w:cs="Times New Roman"/>
          <w:b/>
          <w:bCs/>
          <w:szCs w:val="24"/>
        </w:rPr>
      </w:pPr>
      <w:r w:rsidRPr="00631225">
        <w:rPr>
          <w:rFonts w:cs="Times New Roman"/>
          <w:b/>
          <w:bCs/>
          <w:szCs w:val="24"/>
        </w:rPr>
        <w:t>The cumulative effects of wolf predation, disease, hunting and other natural and human-caused factors on big game habitat needs to be taken into account in BLM analysis and planning.</w:t>
      </w:r>
    </w:p>
    <w:p w:rsidRPr="00631225" w:rsidR="002B63F3" w:rsidP="002B63F3" w:rsidRDefault="008C3549" w14:paraId="14D24218" w14:textId="23A2CD4E">
      <w:pPr>
        <w:spacing w:after="160" w:line="480" w:lineRule="auto"/>
        <w:contextualSpacing/>
        <w:rPr>
          <w:rFonts w:cs="Times New Roman"/>
          <w:szCs w:val="24"/>
        </w:rPr>
      </w:pPr>
      <w:r w:rsidRPr="00631225">
        <w:rPr>
          <w:rFonts w:cs="Times New Roman"/>
          <w:b/>
          <w:bCs/>
          <w:szCs w:val="24"/>
        </w:rPr>
        <w:tab/>
      </w:r>
      <w:r w:rsidRPr="00631225">
        <w:rPr>
          <w:rFonts w:cs="Times New Roman"/>
          <w:szCs w:val="24"/>
        </w:rPr>
        <w:t xml:space="preserve">As mentioned above, the reintroduction of wolves will affect big game habitat population dynamics and migratory behavior.  Compounding </w:t>
      </w:r>
      <w:r w:rsidRPr="00631225" w:rsidR="002B63F3">
        <w:rPr>
          <w:rFonts w:cs="Times New Roman"/>
          <w:szCs w:val="24"/>
        </w:rPr>
        <w:t xml:space="preserve">this issue is Chronic Wasting Disease (CWD), a disease which is 100% fatal and for which there is no cure. It is persistent in the environment and is spreading across mule deer, elk, and moose populations in Colorado. Based on published peer reviewed scientific research, population declines in deer and elk can be expected as the disease becomes more prevalent and </w:t>
      </w:r>
      <w:r w:rsidRPr="00631225" w:rsidR="00942CC8">
        <w:rPr>
          <w:rFonts w:cs="Times New Roman"/>
          <w:szCs w:val="24"/>
        </w:rPr>
        <w:t xml:space="preserve">population declines </w:t>
      </w:r>
      <w:r w:rsidRPr="00631225" w:rsidR="002B63F3">
        <w:rPr>
          <w:rFonts w:cs="Times New Roman"/>
          <w:szCs w:val="24"/>
        </w:rPr>
        <w:t>will be severe in coming decades.</w:t>
      </w:r>
      <w:r w:rsidR="00FF0838">
        <w:rPr>
          <w:rFonts w:cs="Times New Roman"/>
          <w:szCs w:val="24"/>
        </w:rPr>
        <w:t xml:space="preserve"> </w:t>
      </w:r>
      <w:r w:rsidRPr="00631225" w:rsidR="002B63F3">
        <w:rPr>
          <w:rFonts w:cs="Times New Roman"/>
          <w:szCs w:val="24"/>
        </w:rPr>
        <w:t xml:space="preserve"> As CWD spreads, it will contaminate the environment (it is persistent in soil for years and can be taken up by plants, where it can be ingested by herbivores), and it will become endemic (Miller et al. 2008; Monello et al. 2014; Edmunds et al. 2016; Almberg et al. 2011; DeVito et al. 2017; Zabel and Ortega 2017; Mysterud and Edmunds 2019; Galloway et al. 2021). </w:t>
      </w:r>
      <w:r w:rsidR="00FF0838">
        <w:rPr>
          <w:rFonts w:cs="Times New Roman"/>
          <w:szCs w:val="24"/>
        </w:rPr>
        <w:t xml:space="preserve"> </w:t>
      </w:r>
      <w:r w:rsidRPr="00631225" w:rsidR="002B63F3">
        <w:rPr>
          <w:rFonts w:cs="Times New Roman"/>
          <w:szCs w:val="24"/>
        </w:rPr>
        <w:t>This is a significant issue that must be acknowledged and addressed in the EIS because population declines in elk and mule deer will occur as CWD infection rates increase over the coming decades, regardless of human activities.</w:t>
      </w:r>
    </w:p>
    <w:p w:rsidRPr="00631225" w:rsidR="00E17F54" w:rsidP="002B63F3" w:rsidRDefault="002B63F3" w14:paraId="613E4D50" w14:textId="532BDB6F">
      <w:pPr>
        <w:spacing w:after="160" w:line="480" w:lineRule="auto"/>
        <w:contextualSpacing/>
        <w:rPr>
          <w:rFonts w:cs="Times New Roman"/>
          <w:szCs w:val="24"/>
        </w:rPr>
      </w:pPr>
      <w:r w:rsidRPr="00631225">
        <w:rPr>
          <w:rFonts w:cs="Times New Roman"/>
          <w:szCs w:val="24"/>
        </w:rPr>
        <w:tab/>
        <w:t>We are concerned that the expected mule deer and elk declines from CWD, as well as impacts from wolf predation and other environmental factors, may be inappropriately attributed to oil and gas development, which, in turn, could potentially result in additional unjustified restrictions on future oil and gas operations. We therefore urge BLM to acknowledge and incorporate into its planning the fact that population numbers fluctuate and habitat use changes over time as both are driven by multiple extrinsic factors (e.g. drought, disease, wildfire, predation, severe weather events, and density dependence)</w:t>
      </w:r>
      <w:r w:rsidRPr="00631225" w:rsidR="00942CC8">
        <w:rPr>
          <w:rFonts w:cs="Times New Roman"/>
          <w:szCs w:val="24"/>
        </w:rPr>
        <w:t xml:space="preserve"> and </w:t>
      </w:r>
      <w:r w:rsidRPr="00631225">
        <w:rPr>
          <w:rFonts w:cs="Times New Roman"/>
          <w:szCs w:val="24"/>
        </w:rPr>
        <w:t>impacts of human activities (e.g.</w:t>
      </w:r>
      <w:r w:rsidR="00786464">
        <w:rPr>
          <w:rFonts w:cs="Times New Roman"/>
          <w:szCs w:val="24"/>
        </w:rPr>
        <w:t>,</w:t>
      </w:r>
      <w:r w:rsidRPr="00631225">
        <w:rPr>
          <w:rFonts w:cs="Times New Roman"/>
          <w:szCs w:val="24"/>
        </w:rPr>
        <w:t xml:space="preserve"> oil and gas, agricultural, housing, commercial, transportation and water development, as well as the effects of sport hunting on big game demography, behavior and consequent habitat utilization).  Management prescriptions should acknowledge and distinguish among impacts associated with these various factors to be effective.  Any BLM analysis and proposed alternatives will be rendered obsolete if prepared prior to understanding the full demographic impact of wolf reintroductions, in combination with disease, hunting and other natural and human factors on elk, mule deer and pronghorn in Colorado.</w:t>
      </w:r>
    </w:p>
    <w:p w:rsidRPr="00631225" w:rsidR="00C33B79" w:rsidP="00E17F54" w:rsidRDefault="00C33B79" w14:paraId="2E28D18D" w14:textId="77777777">
      <w:pPr>
        <w:pStyle w:val="ListParagraph"/>
        <w:numPr>
          <w:ilvl w:val="0"/>
          <w:numId w:val="22"/>
        </w:numPr>
        <w:spacing w:after="160"/>
        <w:ind w:left="1498"/>
        <w:rPr>
          <w:rFonts w:cs="Times New Roman"/>
          <w:b/>
          <w:bCs/>
          <w:szCs w:val="24"/>
        </w:rPr>
      </w:pPr>
      <w:r w:rsidRPr="00631225">
        <w:rPr>
          <w:rFonts w:cs="Times New Roman"/>
          <w:b/>
          <w:bCs/>
          <w:szCs w:val="24"/>
        </w:rPr>
        <w:t>It is imperative BLM uses up-to-date information reflecting the many significant improvements in oil and gas extraction technology, which make adverse impacts to the environment far fewer and less intense than those impacts associated with historic oil and gas development.</w:t>
      </w:r>
    </w:p>
    <w:p w:rsidRPr="00631225" w:rsidR="00E17F54" w:rsidP="00E17F54" w:rsidRDefault="00E17F54" w14:paraId="6EFBDFBE" w14:textId="1FCA378B">
      <w:pPr>
        <w:spacing w:after="160" w:line="480" w:lineRule="auto"/>
        <w:contextualSpacing/>
        <w:rPr>
          <w:rFonts w:cs="Times New Roman"/>
          <w:szCs w:val="24"/>
        </w:rPr>
      </w:pPr>
      <w:r w:rsidRPr="00631225">
        <w:rPr>
          <w:rFonts w:cs="Times New Roman"/>
          <w:szCs w:val="24"/>
        </w:rPr>
        <w:tab/>
        <w:t xml:space="preserve">Scientific literature has analyzed effects of oil and gas development for many years. However, many of the older studies and opinions formed from them pre-date the existence of newer and less impactful technologies, more efficient operations, and more stringent environmental regulations that began occurring in the </w:t>
      </w:r>
      <w:r w:rsidR="002C4F02">
        <w:rPr>
          <w:rFonts w:cs="Times New Roman"/>
          <w:szCs w:val="24"/>
        </w:rPr>
        <w:t xml:space="preserve">oil and natural gas </w:t>
      </w:r>
      <w:r w:rsidRPr="00631225">
        <w:rPr>
          <w:rFonts w:cs="Times New Roman"/>
          <w:szCs w:val="24"/>
        </w:rPr>
        <w:t>industry beginning around 2005 and which continue today.</w:t>
      </w:r>
      <w:r w:rsidR="00FF0838">
        <w:rPr>
          <w:rFonts w:cs="Times New Roman"/>
          <w:szCs w:val="24"/>
        </w:rPr>
        <w:t xml:space="preserve"> </w:t>
      </w:r>
      <w:r w:rsidRPr="00631225">
        <w:rPr>
          <w:rFonts w:cs="Times New Roman"/>
          <w:szCs w:val="24"/>
        </w:rPr>
        <w:t xml:space="preserve"> Current practices dramatically reduce surface disturbance, often rely on pipelines to transport water and product, thereby reducing trucking impacts, and reduce emissions across the development and production phases. Other advances in technology and computational geoscience have resulted in shorter drilling and completion times, reducing overall disturbance to wildlife.</w:t>
      </w:r>
    </w:p>
    <w:p w:rsidRPr="00631225" w:rsidR="00E17F54" w:rsidP="00E17F54" w:rsidRDefault="00E17F54" w14:paraId="4FC36DD7" w14:textId="5B22BE6F">
      <w:pPr>
        <w:spacing w:after="160" w:line="480" w:lineRule="auto"/>
        <w:contextualSpacing/>
        <w:rPr>
          <w:rFonts w:cs="Times New Roman"/>
          <w:szCs w:val="24"/>
        </w:rPr>
      </w:pPr>
      <w:r w:rsidRPr="00631225">
        <w:rPr>
          <w:rFonts w:cs="Times New Roman"/>
          <w:szCs w:val="24"/>
        </w:rPr>
        <w:tab/>
        <w:t xml:space="preserve">These efforts have been coupled </w:t>
      </w:r>
      <w:r w:rsidR="00AB3EF2">
        <w:rPr>
          <w:rFonts w:cs="Times New Roman"/>
          <w:szCs w:val="24"/>
        </w:rPr>
        <w:t xml:space="preserve">with </w:t>
      </w:r>
      <w:r w:rsidRPr="00631225">
        <w:rPr>
          <w:rFonts w:cs="Times New Roman"/>
          <w:szCs w:val="24"/>
        </w:rPr>
        <w:t>increased awareness</w:t>
      </w:r>
      <w:r w:rsidRPr="00631225" w:rsidR="008C3549">
        <w:rPr>
          <w:rFonts w:cs="Times New Roman"/>
          <w:szCs w:val="24"/>
        </w:rPr>
        <w:t xml:space="preserve"> </w:t>
      </w:r>
      <w:r w:rsidRPr="00631225">
        <w:rPr>
          <w:rFonts w:cs="Times New Roman"/>
          <w:szCs w:val="24"/>
        </w:rPr>
        <w:t xml:space="preserve">and earnest efforts to improve conservation outcomes. </w:t>
      </w:r>
      <w:r w:rsidR="00FF0838">
        <w:rPr>
          <w:rFonts w:cs="Times New Roman"/>
          <w:szCs w:val="24"/>
        </w:rPr>
        <w:t xml:space="preserve"> </w:t>
      </w:r>
      <w:r w:rsidRPr="00631225">
        <w:rPr>
          <w:rFonts w:cs="Times New Roman"/>
          <w:szCs w:val="24"/>
        </w:rPr>
        <w:t>As a result, studies that rely on pre-2005 data—as well as studies that combine data from before and after this period (without accounting for these differences in technology, efficiency and regulation)—simply do not accurately reflect the current situation in the field because the impacts from current operations are fewer and les</w:t>
      </w:r>
      <w:r w:rsidR="00C34EE0">
        <w:rPr>
          <w:rFonts w:cs="Times New Roman"/>
          <w:szCs w:val="24"/>
        </w:rPr>
        <w:t>s</w:t>
      </w:r>
      <w:r w:rsidRPr="00631225">
        <w:rPr>
          <w:rFonts w:cs="Times New Roman"/>
          <w:szCs w:val="24"/>
        </w:rPr>
        <w:t xml:space="preserve"> intense than the impacts from the past.</w:t>
      </w:r>
      <w:r w:rsidR="00FF0838">
        <w:rPr>
          <w:rFonts w:cs="Times New Roman"/>
          <w:szCs w:val="24"/>
        </w:rPr>
        <w:t xml:space="preserve"> </w:t>
      </w:r>
      <w:r w:rsidRPr="00631225">
        <w:rPr>
          <w:rFonts w:cs="Times New Roman"/>
          <w:szCs w:val="24"/>
        </w:rPr>
        <w:t xml:space="preserve"> In light of the oil and gas industry’s advancements, we urge BLM to rely on only the most recent scientific and commercial data when it is developing alternatives for this amendment process and to seek up-to-date expertise on oil and gas technologies, both above and below ground.</w:t>
      </w:r>
    </w:p>
    <w:p w:rsidRPr="00631225" w:rsidR="002B63F3" w:rsidP="002B63F3" w:rsidRDefault="00C33B79" w14:paraId="1759A7A7" w14:textId="77777777">
      <w:pPr>
        <w:pStyle w:val="ListParagraph"/>
        <w:numPr>
          <w:ilvl w:val="0"/>
          <w:numId w:val="22"/>
        </w:numPr>
        <w:spacing w:after="160"/>
        <w:ind w:left="1498"/>
        <w:rPr>
          <w:rFonts w:cs="Times New Roman"/>
          <w:b/>
          <w:bCs/>
          <w:szCs w:val="24"/>
        </w:rPr>
      </w:pPr>
      <w:r w:rsidRPr="00631225">
        <w:rPr>
          <w:rFonts w:cs="Times New Roman"/>
          <w:b/>
          <w:bCs/>
          <w:szCs w:val="24"/>
        </w:rPr>
        <w:t>The significance of hunting on big game avoidance must be addressed.</w:t>
      </w:r>
    </w:p>
    <w:p w:rsidRPr="00631225" w:rsidR="002B63F3" w:rsidP="002B63F3" w:rsidRDefault="002B63F3" w14:paraId="65815D46" w14:textId="5EF07DF7">
      <w:pPr>
        <w:spacing w:after="160" w:line="480" w:lineRule="auto"/>
        <w:rPr>
          <w:rFonts w:cs="Times New Roman"/>
          <w:szCs w:val="24"/>
        </w:rPr>
      </w:pPr>
      <w:r w:rsidRPr="00631225">
        <w:rPr>
          <w:rFonts w:cs="Times New Roman"/>
          <w:b/>
          <w:bCs/>
          <w:szCs w:val="24"/>
        </w:rPr>
        <w:tab/>
      </w:r>
      <w:r w:rsidRPr="00631225">
        <w:rPr>
          <w:rFonts w:cs="Times New Roman"/>
          <w:szCs w:val="24"/>
        </w:rPr>
        <w:t xml:space="preserve">It is well-established in the peer-reviewed scientific literature that big game species that are hunted tend to avoid human activity, yet readily tolerate human presence in areas where they have not been hunted (Thurfjell et al. 2017; Goumas et al. 2020; Sergeyev et al. 2020; Zanette and Clinchy 2020). </w:t>
      </w:r>
      <w:r w:rsidR="00FF0838">
        <w:rPr>
          <w:rFonts w:cs="Times New Roman"/>
          <w:szCs w:val="24"/>
        </w:rPr>
        <w:t xml:space="preserve"> </w:t>
      </w:r>
      <w:r w:rsidRPr="00631225">
        <w:rPr>
          <w:rFonts w:cs="Times New Roman"/>
          <w:szCs w:val="24"/>
        </w:rPr>
        <w:t>In other words, hunting produces a “landscape of fear” in big game populations, conditioning them to view humans as potential predators and consequently to avoid human activity where they otherwise would not have. BLM should not consider requiring oil and gas operators to provide additional compensatory mitigation for operations when big game avoidance of human activities i</w:t>
      </w:r>
      <w:r w:rsidR="00C34EE0">
        <w:rPr>
          <w:rFonts w:cs="Times New Roman"/>
          <w:szCs w:val="24"/>
        </w:rPr>
        <w:t>s</w:t>
      </w:r>
      <w:r w:rsidRPr="00631225">
        <w:rPr>
          <w:rFonts w:cs="Times New Roman"/>
          <w:szCs w:val="24"/>
        </w:rPr>
        <w:t xml:space="preserve"> the result of hunters creating a landscape of fear</w:t>
      </w:r>
      <w:r w:rsidRPr="00631225" w:rsidR="00853E01">
        <w:rPr>
          <w:rFonts w:cs="Times New Roman"/>
          <w:szCs w:val="24"/>
        </w:rPr>
        <w:t>.</w:t>
      </w:r>
      <w:r w:rsidRPr="00631225">
        <w:rPr>
          <w:rFonts w:cs="Times New Roman"/>
          <w:szCs w:val="24"/>
        </w:rPr>
        <w:t xml:space="preserve"> In considering this issue in its analysis of alternatives, BLM needs to include an analysis of alternatives that include</w:t>
      </w:r>
      <w:r w:rsidRPr="00631225" w:rsidR="00853E01">
        <w:rPr>
          <w:rFonts w:cs="Times New Roman"/>
          <w:szCs w:val="24"/>
        </w:rPr>
        <w:t>s</w:t>
      </w:r>
      <w:r w:rsidRPr="00631225">
        <w:rPr>
          <w:rFonts w:cs="Times New Roman"/>
          <w:szCs w:val="24"/>
        </w:rPr>
        <w:t xml:space="preserve"> mitigating the behavioral impacts of hunting on big game.</w:t>
      </w:r>
    </w:p>
    <w:p w:rsidRPr="00631225" w:rsidR="00601BD0" w:rsidP="00601BD0" w:rsidRDefault="00601BD0" w14:paraId="2EE43BB2" w14:textId="17FF7A89">
      <w:pPr>
        <w:pStyle w:val="ListParagraph"/>
        <w:numPr>
          <w:ilvl w:val="0"/>
          <w:numId w:val="19"/>
        </w:numPr>
        <w:spacing w:after="160" w:line="259" w:lineRule="auto"/>
        <w:rPr>
          <w:rFonts w:cs="Times New Roman"/>
          <w:b/>
          <w:bCs/>
          <w:szCs w:val="24"/>
        </w:rPr>
      </w:pPr>
      <w:r w:rsidRPr="00631225">
        <w:rPr>
          <w:rFonts w:cs="Times New Roman"/>
          <w:b/>
          <w:bCs/>
          <w:szCs w:val="24"/>
        </w:rPr>
        <w:t xml:space="preserve">BLM’s </w:t>
      </w:r>
      <w:r w:rsidRPr="00631225" w:rsidR="00952DD6">
        <w:rPr>
          <w:rFonts w:cs="Times New Roman"/>
          <w:b/>
          <w:bCs/>
          <w:szCs w:val="24"/>
        </w:rPr>
        <w:t>Amendment and EIS Process must address</w:t>
      </w:r>
      <w:r w:rsidRPr="00631225">
        <w:rPr>
          <w:rFonts w:cs="Times New Roman"/>
          <w:b/>
          <w:bCs/>
          <w:szCs w:val="24"/>
        </w:rPr>
        <w:t xml:space="preserve"> the Socio-Economic Impacts to Local Communities &amp; Special Districts</w:t>
      </w:r>
      <w:r w:rsidRPr="00631225" w:rsidR="006C5B19">
        <w:rPr>
          <w:rFonts w:cs="Times New Roman"/>
          <w:b/>
          <w:bCs/>
          <w:szCs w:val="24"/>
        </w:rPr>
        <w:t>.</w:t>
      </w:r>
    </w:p>
    <w:p w:rsidRPr="00631225" w:rsidR="006C5B19" w:rsidP="006C5B19" w:rsidRDefault="006C5B19" w14:paraId="04D2D969" w14:textId="2139874F">
      <w:pPr>
        <w:spacing w:line="480" w:lineRule="auto"/>
        <w:ind w:firstLine="360"/>
        <w:rPr>
          <w:rFonts w:cs="Times New Roman"/>
          <w:szCs w:val="24"/>
        </w:rPr>
      </w:pPr>
      <w:r w:rsidRPr="00631225">
        <w:rPr>
          <w:rFonts w:cs="Times New Roman"/>
          <w:szCs w:val="24"/>
        </w:rPr>
        <w:t xml:space="preserve">Oil and </w:t>
      </w:r>
      <w:r w:rsidRPr="00631225" w:rsidR="00AF46D4">
        <w:rPr>
          <w:rFonts w:cs="Times New Roman"/>
          <w:szCs w:val="24"/>
        </w:rPr>
        <w:t>g</w:t>
      </w:r>
      <w:r w:rsidRPr="00631225">
        <w:rPr>
          <w:rFonts w:cs="Times New Roman"/>
          <w:szCs w:val="24"/>
        </w:rPr>
        <w:t xml:space="preserve">as </w:t>
      </w:r>
      <w:r w:rsidRPr="00631225" w:rsidR="00AF46D4">
        <w:rPr>
          <w:rFonts w:cs="Times New Roman"/>
          <w:szCs w:val="24"/>
        </w:rPr>
        <w:t>development</w:t>
      </w:r>
      <w:r w:rsidRPr="00631225">
        <w:rPr>
          <w:rFonts w:cs="Times New Roman"/>
          <w:szCs w:val="24"/>
        </w:rPr>
        <w:t xml:space="preserve"> </w:t>
      </w:r>
      <w:r w:rsidRPr="00631225" w:rsidR="00AF46D4">
        <w:rPr>
          <w:rFonts w:cs="Times New Roman"/>
          <w:szCs w:val="24"/>
        </w:rPr>
        <w:t>is a</w:t>
      </w:r>
      <w:r w:rsidRPr="00631225">
        <w:rPr>
          <w:rFonts w:cs="Times New Roman"/>
          <w:szCs w:val="24"/>
        </w:rPr>
        <w:t xml:space="preserve"> major source of </w:t>
      </w:r>
      <w:r w:rsidR="00C34EE0">
        <w:rPr>
          <w:rFonts w:cs="Times New Roman"/>
          <w:szCs w:val="24"/>
        </w:rPr>
        <w:t>revenue</w:t>
      </w:r>
      <w:r w:rsidRPr="00631225">
        <w:rPr>
          <w:rFonts w:cs="Times New Roman"/>
          <w:szCs w:val="24"/>
        </w:rPr>
        <w:t xml:space="preserve"> for </w:t>
      </w:r>
      <w:r w:rsidRPr="00631225" w:rsidR="00AF46D4">
        <w:rPr>
          <w:rFonts w:cs="Times New Roman"/>
          <w:szCs w:val="24"/>
        </w:rPr>
        <w:t xml:space="preserve">many </w:t>
      </w:r>
      <w:r w:rsidRPr="00631225">
        <w:rPr>
          <w:rFonts w:cs="Times New Roman"/>
          <w:szCs w:val="24"/>
        </w:rPr>
        <w:t>local governments</w:t>
      </w:r>
      <w:r w:rsidRPr="00631225" w:rsidR="00AF46D4">
        <w:rPr>
          <w:rFonts w:cs="Times New Roman"/>
          <w:szCs w:val="24"/>
        </w:rPr>
        <w:t xml:space="preserve"> in Colorado</w:t>
      </w:r>
      <w:r w:rsidRPr="00631225">
        <w:rPr>
          <w:rFonts w:cs="Times New Roman"/>
          <w:szCs w:val="24"/>
        </w:rPr>
        <w:t xml:space="preserve">.  </w:t>
      </w:r>
      <w:r w:rsidRPr="00631225" w:rsidR="007E1B74">
        <w:rPr>
          <w:rFonts w:cs="Times New Roman"/>
          <w:szCs w:val="24"/>
        </w:rPr>
        <w:t>More</w:t>
      </w:r>
      <w:r w:rsidRPr="00631225">
        <w:rPr>
          <w:rFonts w:cs="Times New Roman"/>
          <w:szCs w:val="24"/>
        </w:rPr>
        <w:t xml:space="preserve"> sophisticated natural gas production technologies and rising gas prices produced a notable energy boom between 2002 and 2009 for many Colorado local governments</w:t>
      </w:r>
      <w:r w:rsidRPr="00631225" w:rsidR="007E1B74">
        <w:rPr>
          <w:rFonts w:cs="Times New Roman"/>
          <w:szCs w:val="24"/>
        </w:rPr>
        <w:t>,</w:t>
      </w:r>
      <w:r w:rsidRPr="00631225">
        <w:rPr>
          <w:rFonts w:cs="Times New Roman"/>
          <w:szCs w:val="24"/>
        </w:rPr>
        <w:t xml:space="preserve"> and </w:t>
      </w:r>
      <w:r w:rsidRPr="00631225" w:rsidR="00AF46D4">
        <w:rPr>
          <w:rFonts w:cs="Times New Roman"/>
          <w:szCs w:val="24"/>
        </w:rPr>
        <w:t xml:space="preserve">oil and gas development </w:t>
      </w:r>
      <w:r w:rsidRPr="00631225">
        <w:rPr>
          <w:rFonts w:cs="Times New Roman"/>
          <w:szCs w:val="24"/>
        </w:rPr>
        <w:t xml:space="preserve">continues to be a major source of funding for </w:t>
      </w:r>
      <w:r w:rsidR="00B300CA">
        <w:rPr>
          <w:rFonts w:cs="Times New Roman"/>
          <w:szCs w:val="24"/>
        </w:rPr>
        <w:t xml:space="preserve">their </w:t>
      </w:r>
      <w:r w:rsidRPr="00631225" w:rsidR="00AF46D4">
        <w:rPr>
          <w:rFonts w:cs="Times New Roman"/>
          <w:szCs w:val="24"/>
        </w:rPr>
        <w:t>economies</w:t>
      </w:r>
      <w:r w:rsidRPr="00631225">
        <w:rPr>
          <w:rFonts w:cs="Times New Roman"/>
          <w:szCs w:val="24"/>
        </w:rPr>
        <w:t xml:space="preserve">. </w:t>
      </w:r>
      <w:r w:rsidRPr="00631225" w:rsidR="00BC4142">
        <w:rPr>
          <w:rFonts w:cs="Times New Roman"/>
          <w:szCs w:val="24"/>
        </w:rPr>
        <w:t xml:space="preserve"> Indeed, many local governments are now primarily dependent on oil and gas development for necessary revenue.</w:t>
      </w:r>
    </w:p>
    <w:p w:rsidRPr="00631225" w:rsidR="00AF46D4" w:rsidP="00BC4142" w:rsidRDefault="00BC4142" w14:paraId="27EB3809" w14:textId="77777777">
      <w:pPr>
        <w:spacing w:line="480" w:lineRule="auto"/>
        <w:ind w:firstLine="360"/>
        <w:rPr>
          <w:rFonts w:cs="Times New Roman"/>
          <w:szCs w:val="24"/>
        </w:rPr>
      </w:pPr>
      <w:r w:rsidRPr="00631225">
        <w:rPr>
          <w:rFonts w:cs="Times New Roman"/>
          <w:szCs w:val="24"/>
        </w:rPr>
        <w:t xml:space="preserve">The ability of this amendment to significantly impact this necessary revenue stream to local governments is </w:t>
      </w:r>
      <w:r w:rsidRPr="00631225" w:rsidR="00942CC8">
        <w:rPr>
          <w:rFonts w:cs="Times New Roman"/>
          <w:szCs w:val="24"/>
        </w:rPr>
        <w:t>substantial</w:t>
      </w:r>
      <w:r w:rsidRPr="00631225" w:rsidR="00AF46D4">
        <w:rPr>
          <w:rFonts w:cs="Times New Roman"/>
          <w:szCs w:val="24"/>
        </w:rPr>
        <w:t>, especially if some of the more extreme constraints such as no surface occupancy restrictions are considered</w:t>
      </w:r>
      <w:r w:rsidRPr="00631225">
        <w:rPr>
          <w:rFonts w:cs="Times New Roman"/>
          <w:szCs w:val="24"/>
        </w:rPr>
        <w:t xml:space="preserve">.  </w:t>
      </w:r>
      <w:r w:rsidRPr="00631225" w:rsidR="00E65A8D">
        <w:rPr>
          <w:rFonts w:cs="Times New Roman"/>
          <w:szCs w:val="24"/>
        </w:rPr>
        <w:t>Without careful consideration of BLM’s decisions on local governments, the haphazard imposition of major or even minor constraints on significant areas of leased federal land could devastate local governments’ ability to provide necessary services.</w:t>
      </w:r>
    </w:p>
    <w:p w:rsidRPr="00631225" w:rsidR="001348A0" w:rsidP="001348A0" w:rsidRDefault="001348A0" w14:paraId="05D16F2A" w14:textId="77777777">
      <w:pPr>
        <w:pStyle w:val="ListParagraph"/>
        <w:numPr>
          <w:ilvl w:val="0"/>
          <w:numId w:val="19"/>
        </w:numPr>
        <w:spacing w:line="480" w:lineRule="auto"/>
        <w:rPr>
          <w:rFonts w:cs="Times New Roman"/>
          <w:b/>
          <w:bCs/>
          <w:szCs w:val="24"/>
        </w:rPr>
      </w:pPr>
      <w:r w:rsidRPr="00631225">
        <w:rPr>
          <w:rFonts w:cs="Times New Roman"/>
          <w:b/>
          <w:bCs/>
          <w:szCs w:val="24"/>
        </w:rPr>
        <w:t xml:space="preserve">As BLM Acknowledges, This Process Cannot Impair </w:t>
      </w:r>
      <w:r w:rsidRPr="00631225" w:rsidR="00EC1776">
        <w:rPr>
          <w:rFonts w:cs="Times New Roman"/>
          <w:b/>
          <w:bCs/>
          <w:szCs w:val="24"/>
        </w:rPr>
        <w:t>Valid Existing Rights.</w:t>
      </w:r>
    </w:p>
    <w:p w:rsidRPr="00631225" w:rsidR="00EC1776" w:rsidP="00EC1776" w:rsidRDefault="00EC1776" w14:paraId="445A28A4" w14:textId="2BC19C73">
      <w:pPr>
        <w:spacing w:line="480" w:lineRule="auto"/>
        <w:rPr>
          <w:rFonts w:cs="Times New Roman"/>
          <w:szCs w:val="24"/>
        </w:rPr>
      </w:pPr>
      <w:r w:rsidRPr="00631225">
        <w:rPr>
          <w:rFonts w:cs="Times New Roman"/>
          <w:szCs w:val="24"/>
        </w:rPr>
        <w:tab/>
        <w:t>BLM’s planning and regulatory authorities are found principally in the Federal Land Policy and Management Act</w:t>
      </w:r>
      <w:r w:rsidRPr="00631225" w:rsidR="007E1B74">
        <w:rPr>
          <w:rFonts w:cs="Times New Roman"/>
          <w:szCs w:val="24"/>
        </w:rPr>
        <w:t xml:space="preserve"> (“FLPMA”)</w:t>
      </w:r>
      <w:r w:rsidRPr="00631225">
        <w:rPr>
          <w:rFonts w:cs="Times New Roman"/>
          <w:szCs w:val="24"/>
        </w:rPr>
        <w:t xml:space="preserve">.  </w:t>
      </w:r>
      <w:r w:rsidRPr="00631225" w:rsidR="007E1B74">
        <w:rPr>
          <w:rFonts w:cs="Times New Roman"/>
          <w:szCs w:val="24"/>
        </w:rPr>
        <w:t>This authority is not unlimited</w:t>
      </w:r>
      <w:r w:rsidRPr="00631225" w:rsidR="004C3A69">
        <w:rPr>
          <w:rFonts w:cs="Times New Roman"/>
          <w:szCs w:val="24"/>
        </w:rPr>
        <w:t xml:space="preserve">, as BLM has acknowledged by noting that </w:t>
      </w:r>
      <w:r w:rsidRPr="00631225">
        <w:rPr>
          <w:rFonts w:cs="Times New Roman"/>
          <w:szCs w:val="24"/>
        </w:rPr>
        <w:t xml:space="preserve">its decisions respecting public lands in Colorado are subject to valid existing rights, and that the RMP amendment will not diminish such valid existing rights.  87 Fed. Reg. 43050, 43051 &amp; 43052 (July 19, 2022).  Regardless of what RMP amendments the agency ultimately adopts, the agency’s ability to apply new requirements to existing leases is limited by the terms of those leases and the requirements of due process. </w:t>
      </w:r>
      <w:r w:rsidR="00FF0838">
        <w:rPr>
          <w:rFonts w:cs="Times New Roman"/>
          <w:szCs w:val="24"/>
        </w:rPr>
        <w:t xml:space="preserve"> </w:t>
      </w:r>
      <w:r w:rsidRPr="00631225">
        <w:rPr>
          <w:rFonts w:cs="Times New Roman"/>
          <w:szCs w:val="24"/>
        </w:rPr>
        <w:t>This is a well-acknowledged tenet of public lands law.</w:t>
      </w:r>
    </w:p>
    <w:p w:rsidRPr="00631225" w:rsidR="00EC1776" w:rsidP="00EC1776" w:rsidRDefault="00EC1776" w14:paraId="4E8AD1D3" w14:textId="3D9BB029">
      <w:pPr>
        <w:spacing w:line="480" w:lineRule="auto"/>
        <w:rPr>
          <w:rFonts w:cs="Times New Roman"/>
          <w:szCs w:val="24"/>
        </w:rPr>
      </w:pPr>
      <w:r w:rsidRPr="00631225">
        <w:rPr>
          <w:rFonts w:cs="Times New Roman"/>
          <w:szCs w:val="24"/>
        </w:rPr>
        <w:tab/>
        <w:t xml:space="preserve">“Valid existing rights” language is used hundreds of times in federal public lands law.  In fact, </w:t>
      </w:r>
      <w:r w:rsidRPr="00631225" w:rsidR="007E1B74">
        <w:rPr>
          <w:rFonts w:cs="Times New Roman"/>
          <w:szCs w:val="24"/>
        </w:rPr>
        <w:t>BLM’s</w:t>
      </w:r>
      <w:r w:rsidRPr="00631225">
        <w:rPr>
          <w:rFonts w:cs="Times New Roman"/>
          <w:szCs w:val="24"/>
        </w:rPr>
        <w:t xml:space="preserve"> organic statute includes </w:t>
      </w:r>
      <w:r w:rsidRPr="00631225" w:rsidR="004C3A69">
        <w:rPr>
          <w:rFonts w:cs="Times New Roman"/>
          <w:szCs w:val="24"/>
        </w:rPr>
        <w:t>twelve</w:t>
      </w:r>
      <w:r w:rsidRPr="00631225">
        <w:rPr>
          <w:rFonts w:cs="Times New Roman"/>
          <w:szCs w:val="24"/>
        </w:rPr>
        <w:t xml:space="preserve"> references to valid existing rights and uses similar language throughout to prevent infringement on private interests.  Sometimes the statutes use the precise term “valid existing rights” and sometimes the statute (or other action) uses different language that accomplishes the same end.  For example, </w:t>
      </w:r>
      <w:r w:rsidRPr="00631225" w:rsidR="004C3A69">
        <w:rPr>
          <w:rFonts w:cs="Times New Roman"/>
          <w:szCs w:val="24"/>
        </w:rPr>
        <w:t>the FLPMA</w:t>
      </w:r>
      <w:r w:rsidRPr="00631225">
        <w:rPr>
          <w:rFonts w:cs="Times New Roman"/>
          <w:szCs w:val="24"/>
        </w:rPr>
        <w:t xml:space="preserve"> provisions regarding management of wilderness study areas are made subject to mineral leasing in the manner and degree in which the same was being conducted prior to passage of FLPMA.</w:t>
      </w:r>
      <w:r w:rsidRPr="00631225" w:rsidR="004C3A69">
        <w:rPr>
          <w:rFonts w:cs="Times New Roman"/>
          <w:szCs w:val="24"/>
        </w:rPr>
        <w:t xml:space="preserve">  </w:t>
      </w:r>
      <w:r w:rsidRPr="00631225" w:rsidR="004C3A69">
        <w:rPr>
          <w:rFonts w:cs="Times New Roman"/>
          <w:i/>
          <w:iCs/>
          <w:szCs w:val="24"/>
        </w:rPr>
        <w:t xml:space="preserve">See </w:t>
      </w:r>
      <w:r w:rsidRPr="00631225" w:rsidR="004C3A69">
        <w:rPr>
          <w:rFonts w:cs="Times New Roman"/>
          <w:szCs w:val="24"/>
        </w:rPr>
        <w:t xml:space="preserve">43 U.S.C. 1782, Sec. 603 (c). </w:t>
      </w:r>
      <w:r w:rsidRPr="00631225" w:rsidR="007E1B74">
        <w:rPr>
          <w:rFonts w:cs="Times New Roman"/>
          <w:szCs w:val="24"/>
        </w:rPr>
        <w:t xml:space="preserve">And when </w:t>
      </w:r>
      <w:r w:rsidRPr="00631225">
        <w:rPr>
          <w:rFonts w:cs="Times New Roman"/>
          <w:szCs w:val="24"/>
        </w:rPr>
        <w:t xml:space="preserve">a land withdrawal occurs, vested existing rights are unaffected.  </w:t>
      </w:r>
      <w:r w:rsidRPr="00631225">
        <w:rPr>
          <w:rFonts w:cs="Times New Roman"/>
          <w:i/>
          <w:iCs/>
          <w:szCs w:val="24"/>
        </w:rPr>
        <w:t>Grand Canyon Trust v. Williams</w:t>
      </w:r>
      <w:r w:rsidRPr="00631225">
        <w:rPr>
          <w:rFonts w:cs="Times New Roman"/>
          <w:szCs w:val="24"/>
        </w:rPr>
        <w:t xml:space="preserve">, 98 F.Supp.3d 1044 (Ariz 2015), </w:t>
      </w:r>
      <w:r w:rsidRPr="00631225">
        <w:rPr>
          <w:rFonts w:cs="Times New Roman"/>
          <w:i/>
          <w:iCs/>
          <w:szCs w:val="24"/>
        </w:rPr>
        <w:t>aff’d in part and remanded in part, Havasupai v. Provencio</w:t>
      </w:r>
      <w:r w:rsidRPr="00631225">
        <w:rPr>
          <w:rFonts w:cs="Times New Roman"/>
          <w:szCs w:val="24"/>
        </w:rPr>
        <w:t xml:space="preserve">, 906 F.3d 1155 (9th Cir. 2018). </w:t>
      </w:r>
      <w:r w:rsidRPr="00631225" w:rsidR="007E1B74">
        <w:rPr>
          <w:rFonts w:cs="Times New Roman"/>
          <w:szCs w:val="24"/>
        </w:rPr>
        <w:t>For these reasons, a</w:t>
      </w:r>
      <w:r w:rsidRPr="00631225">
        <w:rPr>
          <w:rFonts w:cs="Times New Roman"/>
          <w:szCs w:val="24"/>
        </w:rPr>
        <w:t xml:space="preserve"> Presidential Proclamation for the Upper Missouri River Breaks National Monument (66 Fed. Reg, 7359 (Jan. 17, 2001) was made subject to valid existing rights, as were other presidential proclamations.  </w:t>
      </w:r>
    </w:p>
    <w:p w:rsidRPr="00631225" w:rsidR="00EC1776" w:rsidP="00EC1776" w:rsidRDefault="00EC1776" w14:paraId="2A374663" w14:textId="694B6199">
      <w:pPr>
        <w:spacing w:line="480" w:lineRule="auto"/>
        <w:rPr>
          <w:rFonts w:cs="Times New Roman"/>
          <w:szCs w:val="24"/>
        </w:rPr>
      </w:pPr>
      <w:r w:rsidRPr="00631225">
        <w:rPr>
          <w:rFonts w:cs="Times New Roman"/>
          <w:szCs w:val="24"/>
        </w:rPr>
        <w:tab/>
      </w:r>
      <w:r w:rsidR="002C4F02">
        <w:rPr>
          <w:rFonts w:cs="Times New Roman"/>
          <w:szCs w:val="24"/>
        </w:rPr>
        <w:t>T</w:t>
      </w:r>
      <w:r w:rsidRPr="002C4F02" w:rsidR="002C4F02">
        <w:rPr>
          <w:rFonts w:cs="Times New Roman"/>
          <w:szCs w:val="24"/>
        </w:rPr>
        <w:t>he Associations</w:t>
      </w:r>
      <w:r w:rsidRPr="00631225">
        <w:rPr>
          <w:rFonts w:cs="Times New Roman"/>
          <w:szCs w:val="24"/>
        </w:rPr>
        <w:t xml:space="preserve"> emphasize </w:t>
      </w:r>
      <w:r w:rsidR="00B300CA">
        <w:rPr>
          <w:rFonts w:cs="Times New Roman"/>
          <w:szCs w:val="24"/>
        </w:rPr>
        <w:t xml:space="preserve">the </w:t>
      </w:r>
      <w:r w:rsidRPr="00631225">
        <w:rPr>
          <w:rFonts w:cs="Times New Roman"/>
          <w:szCs w:val="24"/>
        </w:rPr>
        <w:t>importance of vested existing rights as a constraint on whatever the RMP amendments may seek to accomplish on public lands.  Resource Management Plan amendments adopted as part of this process cannot materially dimmish the lease rights previously acquired from BLM.</w:t>
      </w:r>
    </w:p>
    <w:p w:rsidRPr="00631225" w:rsidR="00EC1776" w:rsidP="00EC1776" w:rsidRDefault="00EC1776" w14:paraId="25940E72" w14:textId="413C3072">
      <w:pPr>
        <w:spacing w:line="480" w:lineRule="auto"/>
        <w:rPr>
          <w:rFonts w:cs="Times New Roman"/>
          <w:szCs w:val="24"/>
        </w:rPr>
      </w:pPr>
      <w:r w:rsidRPr="00631225">
        <w:rPr>
          <w:rFonts w:cs="Times New Roman"/>
          <w:szCs w:val="24"/>
        </w:rPr>
        <w:tab/>
      </w:r>
      <w:r w:rsidRPr="00631225" w:rsidR="007E1B74">
        <w:rPr>
          <w:rFonts w:cs="Times New Roman"/>
          <w:szCs w:val="24"/>
        </w:rPr>
        <w:t>A second constraint on BLM’s authority is that</w:t>
      </w:r>
      <w:r w:rsidRPr="00631225">
        <w:rPr>
          <w:rFonts w:cs="Times New Roman"/>
          <w:szCs w:val="24"/>
        </w:rPr>
        <w:t xml:space="preserve"> “BLM’s regulatory jurisdiction is limited to federal lands (including minerals).  Because BLM’s regulatory jurisdiction is so limited, BLM activities that affect non-Federal lands must be carefully examined to ensure that BLM does not exceed its authority.”  BLM Instruction Memorandum (IM) 2018-014.  In some parts of the state, including the Denver-Julesburg basin, much of the surface is privately owned while federal (subsurface) mineral resources are scattered throughout the Area.  </w:t>
      </w:r>
    </w:p>
    <w:p w:rsidRPr="00631225" w:rsidR="001348A0" w:rsidP="00EC1776" w:rsidRDefault="00EC1776" w14:paraId="3BFAF405" w14:textId="71689321">
      <w:pPr>
        <w:spacing w:line="480" w:lineRule="auto"/>
        <w:rPr>
          <w:rFonts w:cs="Times New Roman"/>
          <w:szCs w:val="24"/>
        </w:rPr>
      </w:pPr>
      <w:r w:rsidRPr="00631225">
        <w:rPr>
          <w:rFonts w:cs="Times New Roman"/>
          <w:szCs w:val="24"/>
        </w:rPr>
        <w:tab/>
        <w:t xml:space="preserve">In cases where a well is located on private surface but may capture both fee and federal minerals – so-called fee/fee/federal situations – “BLM’s jurisdiction extends to surface facilities on entirely non-Federal lands solely to the extent of assuring production accountability for royalties from Federal and Indian oil and gas ….” </w:t>
      </w:r>
      <w:r w:rsidRPr="00631225" w:rsidR="00CC1FE7">
        <w:rPr>
          <w:rFonts w:cs="Times New Roman"/>
          <w:i/>
          <w:iCs/>
          <w:szCs w:val="24"/>
        </w:rPr>
        <w:t>Id.</w:t>
      </w:r>
      <w:r w:rsidRPr="00631225" w:rsidR="00CC1FE7">
        <w:rPr>
          <w:rFonts w:cs="Times New Roman"/>
          <w:szCs w:val="24"/>
        </w:rPr>
        <w:t xml:space="preserve">  </w:t>
      </w:r>
      <w:r w:rsidRPr="00631225">
        <w:rPr>
          <w:rFonts w:cs="Times New Roman"/>
          <w:szCs w:val="24"/>
        </w:rPr>
        <w:t xml:space="preserve">In those circumstances, the management prescriptions BLM determines are appropriate as RMP amendments to protect large mammals cannot be applied to private surface.  Conversely, the Colorado Oil and Gas Conservation Commission 1200 </w:t>
      </w:r>
      <w:r w:rsidRPr="00631225" w:rsidR="004C3A69">
        <w:rPr>
          <w:rFonts w:cs="Times New Roman"/>
          <w:szCs w:val="24"/>
        </w:rPr>
        <w:t>S</w:t>
      </w:r>
      <w:r w:rsidRPr="00631225">
        <w:rPr>
          <w:rFonts w:cs="Times New Roman"/>
          <w:szCs w:val="24"/>
        </w:rPr>
        <w:t>eries would apply so these lands do not escape protections for things like large mammal migration routes or wintering areas.</w:t>
      </w:r>
      <w:r w:rsidRPr="00631225" w:rsidR="00631225">
        <w:rPr>
          <w:rFonts w:cs="Times New Roman"/>
          <w:szCs w:val="24"/>
        </w:rPr>
        <w:t xml:space="preserve">  </w:t>
      </w:r>
      <w:r w:rsidR="002C4F02">
        <w:rPr>
          <w:rFonts w:cs="Times New Roman"/>
          <w:szCs w:val="24"/>
        </w:rPr>
        <w:t>T</w:t>
      </w:r>
      <w:r w:rsidRPr="002C4F02" w:rsidR="002C4F02">
        <w:rPr>
          <w:rFonts w:cs="Times New Roman"/>
          <w:szCs w:val="24"/>
        </w:rPr>
        <w:t>he Association</w:t>
      </w:r>
      <w:r w:rsidR="002C4F02">
        <w:rPr>
          <w:rFonts w:cs="Times New Roman"/>
          <w:szCs w:val="24"/>
        </w:rPr>
        <w:t>s</w:t>
      </w:r>
      <w:r w:rsidRPr="00631225" w:rsidR="00631225">
        <w:rPr>
          <w:rFonts w:cs="Times New Roman"/>
          <w:szCs w:val="24"/>
        </w:rPr>
        <w:t xml:space="preserve"> ask that constraints on BLM’s authority continue to be acknowledged as this process moves forward.</w:t>
      </w:r>
    </w:p>
    <w:p w:rsidRPr="00631225" w:rsidR="00942CC8" w:rsidP="00EC1776" w:rsidRDefault="00942CC8" w14:paraId="25703E08" w14:textId="77777777">
      <w:pPr>
        <w:spacing w:line="480" w:lineRule="auto"/>
        <w:rPr>
          <w:rFonts w:cs="Times New Roman"/>
          <w:b/>
          <w:bCs/>
          <w:szCs w:val="24"/>
        </w:rPr>
      </w:pPr>
      <w:r w:rsidRPr="00631225">
        <w:rPr>
          <w:rFonts w:cs="Times New Roman"/>
          <w:b/>
          <w:bCs/>
          <w:szCs w:val="24"/>
        </w:rPr>
        <w:tab/>
        <w:t>VIII.</w:t>
      </w:r>
      <w:r w:rsidRPr="00631225">
        <w:rPr>
          <w:rFonts w:cs="Times New Roman"/>
          <w:b/>
          <w:bCs/>
          <w:szCs w:val="24"/>
        </w:rPr>
        <w:tab/>
        <w:t>Conclusion</w:t>
      </w:r>
    </w:p>
    <w:p w:rsidR="00C12C8A" w:rsidP="00EC1776" w:rsidRDefault="00942CC8" w14:paraId="08320F3D" w14:textId="38D4B516">
      <w:pPr>
        <w:spacing w:line="480" w:lineRule="auto"/>
        <w:rPr>
          <w:rFonts w:cs="Times New Roman"/>
          <w:szCs w:val="24"/>
        </w:rPr>
      </w:pPr>
      <w:r w:rsidRPr="00631225">
        <w:rPr>
          <w:rFonts w:cs="Times New Roman"/>
          <w:b/>
          <w:bCs/>
          <w:szCs w:val="24"/>
        </w:rPr>
        <w:tab/>
      </w:r>
      <w:r w:rsidR="002C4F02">
        <w:rPr>
          <w:rFonts w:cs="Times New Roman"/>
          <w:szCs w:val="24"/>
        </w:rPr>
        <w:t>T</w:t>
      </w:r>
      <w:r w:rsidRPr="002C4F02" w:rsidR="002C4F02">
        <w:rPr>
          <w:rFonts w:cs="Times New Roman"/>
          <w:szCs w:val="24"/>
        </w:rPr>
        <w:t>he Associations</w:t>
      </w:r>
      <w:r w:rsidR="002C4F02">
        <w:rPr>
          <w:rFonts w:cs="Times New Roman"/>
          <w:b/>
          <w:bCs/>
          <w:szCs w:val="24"/>
        </w:rPr>
        <w:t xml:space="preserve"> </w:t>
      </w:r>
      <w:r w:rsidR="002C4F02">
        <w:rPr>
          <w:rFonts w:cs="Times New Roman"/>
          <w:szCs w:val="24"/>
        </w:rPr>
        <w:t xml:space="preserve">are </w:t>
      </w:r>
      <w:r w:rsidRPr="00631225" w:rsidR="006946CB">
        <w:rPr>
          <w:rFonts w:cs="Times New Roman"/>
          <w:szCs w:val="24"/>
        </w:rPr>
        <w:t xml:space="preserve">proud of the advancements </w:t>
      </w:r>
      <w:r w:rsidR="002C4F02">
        <w:rPr>
          <w:rFonts w:cs="Times New Roman"/>
          <w:szCs w:val="24"/>
        </w:rPr>
        <w:t>the oil and natural gas industry</w:t>
      </w:r>
      <w:r w:rsidRPr="00631225" w:rsidR="006946CB">
        <w:rPr>
          <w:rFonts w:cs="Times New Roman"/>
          <w:szCs w:val="24"/>
        </w:rPr>
        <w:t xml:space="preserve"> ha</w:t>
      </w:r>
      <w:r w:rsidR="002C4F02">
        <w:rPr>
          <w:rFonts w:cs="Times New Roman"/>
          <w:szCs w:val="24"/>
        </w:rPr>
        <w:t>ve</w:t>
      </w:r>
      <w:r w:rsidRPr="00631225" w:rsidR="006946CB">
        <w:rPr>
          <w:rFonts w:cs="Times New Roman"/>
          <w:szCs w:val="24"/>
        </w:rPr>
        <w:t xml:space="preserve"> made that allow oil and gas operations to occur in big game habitat in a manner that avoids, minimizes, and mitigates adverse impacts while continuing to produce and provide for the current and future clean energy needs for our nation.  We thank BLM for its consideration of these scoping comments.</w:t>
      </w:r>
    </w:p>
    <w:p w:rsidRPr="00FC363C" w:rsidR="00FC363C" w:rsidP="00EC1776" w:rsidRDefault="00FC363C" w14:paraId="5333E8DA" w14:textId="0B03940D">
      <w:pPr>
        <w:spacing w:line="480" w:lineRule="auto"/>
        <w:rPr>
          <w:rFonts w:cs="Times New Roman"/>
          <w:szCs w:val="24"/>
        </w:rPr>
      </w:pPr>
      <w:r>
        <w:rPr>
          <w:rFonts w:cs="Times New Roman"/>
          <w:szCs w:val="24"/>
        </w:rPr>
        <w:t>[signatures continue on following page]</w:t>
      </w:r>
    </w:p>
    <w:p w:rsidR="00C12C8A" w:rsidP="00B300CA" w:rsidRDefault="00B300CA" w14:paraId="037F40E6" w14:textId="56675B95">
      <w:pPr>
        <w:jc w:val="right"/>
      </w:pPr>
      <w:r>
        <w:rPr>
          <w:i/>
          <w:iCs/>
          <w:u w:val="single"/>
        </w:rPr>
        <w:t>s/William Groffy</w:t>
      </w:r>
    </w:p>
    <w:p w:rsidR="00B300CA" w:rsidP="00B300CA" w:rsidRDefault="00B300CA" w14:paraId="29A7DF80" w14:textId="77777777">
      <w:pPr>
        <w:jc w:val="right"/>
      </w:pPr>
      <w:r>
        <w:t>William Groffy</w:t>
      </w:r>
    </w:p>
    <w:p w:rsidR="00B300CA" w:rsidP="00B300CA" w:rsidRDefault="00B300CA" w14:paraId="283601FA" w14:textId="77777777">
      <w:pPr>
        <w:jc w:val="right"/>
      </w:pPr>
      <w:r>
        <w:t>Director of Regulatory Affairs</w:t>
      </w:r>
    </w:p>
    <w:p w:rsidR="00B300CA" w:rsidP="00B300CA" w:rsidRDefault="00B300CA" w14:paraId="095986B3" w14:textId="5FE3D107">
      <w:pPr>
        <w:jc w:val="right"/>
      </w:pPr>
      <w:r>
        <w:t>Colorado Oil &amp; Gas Association</w:t>
      </w:r>
    </w:p>
    <w:p w:rsidR="00B300CA" w:rsidP="00B300CA" w:rsidRDefault="00B300CA" w14:paraId="41D6F51A" w14:textId="6E85AE13">
      <w:pPr>
        <w:jc w:val="right"/>
      </w:pPr>
    </w:p>
    <w:p w:rsidRPr="00B300CA" w:rsidR="00B300CA" w:rsidP="00B300CA" w:rsidRDefault="00B300CA" w14:paraId="5BEB2428" w14:textId="5DAFA765">
      <w:pPr>
        <w:jc w:val="right"/>
        <w:rPr>
          <w:u w:val="single"/>
        </w:rPr>
      </w:pPr>
      <w:r>
        <w:rPr>
          <w:i/>
          <w:iCs/>
          <w:u w:val="single"/>
        </w:rPr>
        <w:t>s/Michael Paules</w:t>
      </w:r>
    </w:p>
    <w:p w:rsidR="00B300CA" w:rsidP="00B300CA" w:rsidRDefault="00B300CA" w14:paraId="3F48DAD4" w14:textId="1E5C746C">
      <w:pPr>
        <w:jc w:val="right"/>
      </w:pPr>
      <w:r>
        <w:t>Michael Paules</w:t>
      </w:r>
    </w:p>
    <w:p w:rsidR="00B300CA" w:rsidP="00B300CA" w:rsidRDefault="00B300CA" w14:paraId="68FFD8DF" w14:textId="77777777">
      <w:pPr>
        <w:jc w:val="right"/>
      </w:pPr>
      <w:r>
        <w:t xml:space="preserve">Associate Director </w:t>
      </w:r>
    </w:p>
    <w:p w:rsidR="00B300CA" w:rsidP="00B300CA" w:rsidRDefault="00B300CA" w14:paraId="1974019F" w14:textId="495A6136">
      <w:pPr>
        <w:jc w:val="right"/>
      </w:pPr>
      <w:r>
        <w:t>American Petroleum Institute Colorado</w:t>
      </w:r>
    </w:p>
    <w:p w:rsidR="00B300CA" w:rsidP="00B300CA" w:rsidRDefault="00B300CA" w14:paraId="2B502AF0" w14:textId="3D8BF641">
      <w:pPr>
        <w:jc w:val="right"/>
      </w:pPr>
    </w:p>
    <w:p w:rsidR="00B300CA" w:rsidP="00B300CA" w:rsidRDefault="00B300CA" w14:paraId="3D72F6E0" w14:textId="40047F54">
      <w:pPr>
        <w:jc w:val="right"/>
        <w:rPr>
          <w:i/>
          <w:iCs/>
          <w:u w:val="single"/>
        </w:rPr>
      </w:pPr>
      <w:r>
        <w:rPr>
          <w:i/>
          <w:iCs/>
          <w:u w:val="single"/>
        </w:rPr>
        <w:t>s/Chelsie Miera</w:t>
      </w:r>
    </w:p>
    <w:p w:rsidRPr="009E5CF4" w:rsidR="009E5CF4" w:rsidP="00B300CA" w:rsidRDefault="009E5CF4" w14:paraId="07958E0A" w14:textId="4AFE0036">
      <w:pPr>
        <w:jc w:val="right"/>
      </w:pPr>
      <w:r>
        <w:t>Chelsie Miera</w:t>
      </w:r>
    </w:p>
    <w:p w:rsidR="00B300CA" w:rsidP="00B300CA" w:rsidRDefault="00B300CA" w14:paraId="480CA6F7" w14:textId="77A80654">
      <w:pPr>
        <w:jc w:val="right"/>
      </w:pPr>
      <w:r>
        <w:t>Executive Director</w:t>
      </w:r>
    </w:p>
    <w:p w:rsidR="00B300CA" w:rsidP="00B300CA" w:rsidRDefault="00B300CA" w14:paraId="0407C40C" w14:textId="0B1324CD">
      <w:pPr>
        <w:jc w:val="right"/>
      </w:pPr>
      <w:r>
        <w:t>West Slope Colorado Oil &amp; Gas Association</w:t>
      </w:r>
    </w:p>
    <w:p w:rsidR="00B300CA" w:rsidP="00B300CA" w:rsidRDefault="00B300CA" w14:paraId="7877911B" w14:textId="1E06A156">
      <w:pPr>
        <w:jc w:val="right"/>
      </w:pPr>
    </w:p>
    <w:p w:rsidR="00B300CA" w:rsidP="00B300CA" w:rsidRDefault="00B300CA" w14:paraId="7F6822B3" w14:textId="124BA4F2">
      <w:pPr>
        <w:jc w:val="right"/>
        <w:rPr>
          <w:i/>
          <w:iCs/>
          <w:u w:val="single"/>
        </w:rPr>
      </w:pPr>
      <w:r>
        <w:rPr>
          <w:i/>
          <w:iCs/>
          <w:u w:val="single"/>
        </w:rPr>
        <w:t>s/Kathleen M. Sgamma</w:t>
      </w:r>
    </w:p>
    <w:p w:rsidRPr="00B300CA" w:rsidR="009E5CF4" w:rsidP="00B300CA" w:rsidRDefault="00B300CA" w14:paraId="769FF3A5" w14:textId="68B88B02">
      <w:pPr>
        <w:jc w:val="right"/>
      </w:pPr>
      <w:r w:rsidRPr="00B300CA">
        <w:t>Kathleen M. Sgamma</w:t>
      </w:r>
    </w:p>
    <w:p w:rsidR="00B300CA" w:rsidP="00B300CA" w:rsidRDefault="009E5CF4" w14:paraId="47D9678D" w14:textId="6C17B902">
      <w:pPr>
        <w:jc w:val="right"/>
      </w:pPr>
      <w:r>
        <w:t>President</w:t>
      </w:r>
    </w:p>
    <w:p w:rsidR="009E5CF4" w:rsidP="00B300CA" w:rsidRDefault="009E5CF4" w14:paraId="652169E0" w14:textId="60D9790E">
      <w:pPr>
        <w:jc w:val="right"/>
      </w:pPr>
      <w:r>
        <w:t>Western Energy Alliance</w:t>
      </w:r>
    </w:p>
    <w:p w:rsidR="009E5CF4" w:rsidP="00B300CA" w:rsidRDefault="009E5CF4" w14:paraId="1205F6D7" w14:textId="09DB470A">
      <w:pPr>
        <w:jc w:val="right"/>
      </w:pPr>
    </w:p>
    <w:p w:rsidR="009E5CF4" w:rsidP="00B300CA" w:rsidRDefault="009E5CF4" w14:paraId="3C40EF33" w14:textId="3791DF84">
      <w:pPr>
        <w:jc w:val="right"/>
        <w:rPr>
          <w:i/>
          <w:iCs/>
          <w:u w:val="single"/>
        </w:rPr>
      </w:pPr>
      <w:r>
        <w:rPr>
          <w:i/>
          <w:iCs/>
          <w:u w:val="single"/>
        </w:rPr>
        <w:t>s/Michelina Paulek</w:t>
      </w:r>
    </w:p>
    <w:p w:rsidRPr="009E5CF4" w:rsidR="009E5CF4" w:rsidP="00B300CA" w:rsidRDefault="009E5CF4" w14:paraId="7238901C" w14:textId="7E29E488">
      <w:pPr>
        <w:jc w:val="right"/>
      </w:pPr>
      <w:r>
        <w:t>Michelina Paulek</w:t>
      </w:r>
    </w:p>
    <w:p w:rsidR="009E5CF4" w:rsidP="00B300CA" w:rsidRDefault="009E5CF4" w14:paraId="3C14487E" w14:textId="43176E75">
      <w:pPr>
        <w:jc w:val="right"/>
      </w:pPr>
      <w:r>
        <w:t>Executive Director</w:t>
      </w:r>
    </w:p>
    <w:p w:rsidRPr="009E5CF4" w:rsidR="009E5CF4" w:rsidP="00B300CA" w:rsidRDefault="009E5CF4" w14:paraId="74F54F33" w14:textId="7E91B9CD">
      <w:pPr>
        <w:jc w:val="right"/>
      </w:pPr>
      <w:r>
        <w:t>Energy Council</w:t>
      </w:r>
    </w:p>
    <w:p w:rsidR="00B300CA" w:rsidP="00B300CA" w:rsidRDefault="00B300CA" w14:paraId="73CBC859" w14:textId="6BD1FC49">
      <w:pPr>
        <w:jc w:val="right"/>
      </w:pPr>
    </w:p>
    <w:p w:rsidR="00B300CA" w:rsidP="00C12C8A" w:rsidRDefault="00B300CA" w14:paraId="07BDED94" w14:textId="77777777">
      <w:pPr>
        <w:spacing w:line="480" w:lineRule="auto"/>
      </w:pPr>
    </w:p>
    <w:p w:rsidRPr="00EC1776" w:rsidR="00C12C8A" w:rsidP="00C12C8A" w:rsidRDefault="00C12C8A" w14:paraId="43E971B3" w14:textId="2FF32844">
      <w:pPr>
        <w:spacing w:line="480" w:lineRule="auto"/>
      </w:pPr>
      <w:r>
        <w:t>Attachments (</w:t>
      </w:r>
      <w:r w:rsidR="00B300CA">
        <w:t>Literature Cited)</w:t>
      </w:r>
    </w:p>
    <w:p w:rsidR="00E65A8D" w:rsidP="00BC32F3" w:rsidRDefault="00E65A8D" w14:paraId="6DBBB811" w14:textId="77777777"/>
    <w:p w:rsidR="003A2727" w:rsidP="000846D7" w:rsidRDefault="003A2727" w14:paraId="55914E6C" w14:textId="77777777"/>
    <w:p w:rsidR="002B21DD" w:rsidP="000846D7" w:rsidRDefault="002B21DD" w14:paraId="427A74F4" w14:textId="77777777"/>
    <w:p w:rsidR="002B21DD" w:rsidP="000846D7" w:rsidRDefault="002B21DD" w14:paraId="6EE587CF" w14:textId="77777777"/>
    <w:p w:rsidR="002B21DD" w:rsidP="000846D7" w:rsidRDefault="002B21DD" w14:paraId="769801DD" w14:textId="77777777"/>
    <w:p w:rsidR="002B21DD" w:rsidP="000846D7" w:rsidRDefault="002B21DD" w14:paraId="408C6A41" w14:textId="77777777"/>
    <w:p w:rsidR="003A2727" w:rsidP="000846D7" w:rsidRDefault="003A2727" w14:paraId="65D519E6" w14:textId="77777777"/>
    <w:p w:rsidR="0018439B" w:rsidRDefault="0018439B" w14:paraId="38E71DDF" w14:textId="1CDA5302">
      <w:bookmarkStart w:name="_Hlk523754753" w:id="2"/>
      <w:r>
        <w:rPr>
          <w:noProof/>
        </w:rPr>
        <w:pict w14:anchorId="54C49BEC">
          <v:shapetype id="_x0000_t202" coordsize="21600,21600" o:spt="202" path="m,l,21600r21600,l21600,xe">
            <v:stroke joinstyle="miter"/>
            <v:path gradientshapeok="t" o:connecttype="rect"/>
          </v:shapetype>
          <v:shape id="zzmpTrailer_1079_11" style="position:absolute;margin-left:0;margin-top:0;width:201.6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">
            <v:textbox style="mso-next-textbox:#zzmpTrailer_1079_11" inset="0,0,0,0">
              <w:txbxContent>
                <w:p w:rsidR="0018439B" w:rsidRDefault="0018439B" w14:paraId="159E878D" w14:textId="23A91314">
                  <w:pPr>
                    <w:pStyle w:val="MacPacTrailer"/>
                  </w:pPr>
                  <w:r>
                    <w:t>24631590.1</w:t>
                  </w:r>
                </w:p>
                <w:p w:rsidR="0018439B" w:rsidRDefault="0018439B" w14:paraId="7DC2E564" w14:textId="7A392822">
                  <w:pPr>
                    <w:pStyle w:val="MacPacTrailer"/>
                  </w:pPr>
                </w:p>
              </w:txbxContent>
            </v:textbox>
            <w10:wrap anchorx="margin"/>
          </v:shape>
        </w:pict>
      </w:r>
      <w:bookmarkEnd w:id="2"/>
    </w:p>
    <w:sectPr w:rsidR="0018439B" w:rsidSect="006661FE">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E23" w:rsidP="009C15F5" w:rsidRDefault="00211E23" w14:paraId="77E0FA4E" w14:textId="77777777">
      <w:r>
        <w:separator/>
      </w:r>
    </w:p>
    <w:p w:rsidR="00000000" w:rsidRDefault="00E16213" w14:paraId="1EDFEB6B" w14:textId="77777777"/>
  </w:endnote>
  <w:endnote w:type="continuationSeparator" w:id="0">
    <w:p w:rsidR="00211E23" w:rsidP="009C15F5" w:rsidRDefault="00211E23" w14:paraId="58399EDE" w14:textId="77777777">
      <w:r>
        <w:continuationSeparator/>
      </w:r>
    </w:p>
    <w:p w:rsidR="00000000" w:rsidRDefault="00E16213" w14:paraId="61BEB6BC" w14:textId="77777777"/>
  </w:endnote>
  <w:endnote w:type="continuationNotice" w:id="1">
    <w:p w:rsidR="00FC363C" w:rsidRDefault="00FC363C" w14:paraId="5214CA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70195"/>
      <w:docPartObj>
        <w:docPartGallery w:val="Page Numbers (Bottom of Page)"/>
        <w:docPartUnique/>
      </w:docPartObj>
    </w:sdtPr>
    <w:sdtEndPr>
      <w:rPr>
        <w:noProof/>
      </w:rPr>
    </w:sdtEndPr>
    <w:sdtContent>
      <w:p w:rsidR="006C5B19" w:rsidRDefault="006C5B19" w14:paraId="23233E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5B19" w:rsidRDefault="006C5B19" w14:paraId="1A307E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E23" w:rsidP="009C15F5" w:rsidRDefault="00211E23" w14:paraId="27D98BAF" w14:textId="77777777">
      <w:r>
        <w:separator/>
      </w:r>
    </w:p>
    <w:p w:rsidR="00000000" w:rsidRDefault="00E16213" w14:paraId="38402F07" w14:textId="77777777"/>
  </w:footnote>
  <w:footnote w:type="continuationSeparator" w:id="0">
    <w:p w:rsidR="00211E23" w:rsidP="009C15F5" w:rsidRDefault="00211E23" w14:paraId="5FB31C7F" w14:textId="77777777">
      <w:r>
        <w:continuationSeparator/>
      </w:r>
    </w:p>
    <w:p w:rsidR="00000000" w:rsidRDefault="00E16213" w14:paraId="356A5FE1" w14:textId="77777777"/>
  </w:footnote>
  <w:footnote w:type="continuationNotice" w:id="1">
    <w:p w:rsidR="00FC363C" w:rsidRDefault="00FC363C" w14:paraId="7824E9A3" w14:textId="77777777"/>
  </w:footnote>
  <w:footnote w:id="2">
    <w:p w:rsidR="00301343" w:rsidRDefault="00301343" w14:paraId="04373029" w14:textId="189D92C7">
      <w:pPr>
        <w:pStyle w:val="FootnoteText"/>
      </w:pPr>
      <w:r>
        <w:rPr>
          <w:rStyle w:val="FootnoteReference"/>
        </w:rPr>
        <w:footnoteRef/>
      </w:r>
      <w:r>
        <w:t xml:space="preserve"> Additionally, BLM is subject to NEPA which substantially hinders its ability to create a timely and accurate mapping process</w:t>
      </w:r>
      <w:bookmarkStart w:name="_Hlk112330383" w:id="1"/>
      <w:r>
        <w:t xml:space="preserve">.  The average NEPA process </w:t>
      </w:r>
      <w:r w:rsidR="00813CE2">
        <w:t xml:space="preserve">for resource management plan (“RMP”) amendments </w:t>
      </w:r>
      <w:r>
        <w:t xml:space="preserve">takes </w:t>
      </w:r>
      <w:r w:rsidR="008F7A6B">
        <w:t xml:space="preserve">several </w:t>
      </w:r>
      <w:r>
        <w:t>years</w:t>
      </w:r>
      <w:bookmarkEnd w:id="1"/>
      <w:r>
        <w:t xml:space="preserve">, and while some of the RMPs to be amended in this amendment process date as far back as 1986 and have not been subsequently updated, COGCC makes frequent updates.  </w:t>
      </w:r>
      <w:r w:rsidR="00003371">
        <w:t xml:space="preserve">CPW and COGCC are simply better positioned to lead high priority habitat land use decisions because their policies and regulations are based on the most recent science and they can engage in rulemakings more quickly without the intense procedural overlay that accompanies NEPA.  </w:t>
      </w:r>
      <w:r w:rsidR="0089793E">
        <w:t xml:space="preserve">To be sure, the Associations make no claim that the state data is 100% accurate, 100% of the time.  However, the state agencies’ ability to update its mapping more quickly than the BLM is irrefutable such that, as between BLM and COGCC/CPW, the Associations believe following the state’s approach to big game habitat and migration corridors is more protective of big game habitat and migratory corridors. </w:t>
      </w:r>
    </w:p>
  </w:footnote>
  <w:footnote w:id="3">
    <w:p w:rsidR="0057707C" w:rsidP="0057707C" w:rsidRDefault="0057707C" w14:paraId="543F4F90" w14:textId="77777777">
      <w:pPr>
        <w:pStyle w:val="FootnoteText"/>
      </w:pPr>
      <w:r>
        <w:rPr>
          <w:rStyle w:val="FootnoteReference"/>
        </w:rPr>
        <w:footnoteRef/>
      </w:r>
      <w:r>
        <w:t xml:space="preserve"> “High Priority Habitat” is a defined term under COGCC Rules meaning, “habitat areas identified by Colorado Parks and Wildlife where measures to Avoid, Minimize, and Mitigate Adverse Impacts to wildlife have been identified to protect breeding, nesting, foraging, migrating, or other uses by wildlife. Maps showing, and spatial data identifying, the individual and combined extents of the High Priority Habitats will be provided by CPW and attached to this Rule as Appendix VII. The Commission will provide the maps on its website. The extent of these High Priority Habitat areas is subject to update on a periodic but no more frequent than annual basis and will be modified only through the Commission’s rulemaking process described in Rule 529. Notice of such</w:t>
      </w:r>
    </w:p>
    <w:p w:rsidR="0057707C" w:rsidP="0057707C" w:rsidRDefault="0057707C" w14:paraId="1BDC29C5" w14:textId="77777777">
      <w:pPr>
        <w:pStyle w:val="FootnoteText"/>
      </w:pPr>
      <w:r>
        <w:t xml:space="preserve">rulemaking proceeding will be provided by January 15 of each year.”  COGCC Rule 100 Series-Definitions. </w:t>
      </w:r>
    </w:p>
  </w:footnote>
  <w:footnote w:id="4">
    <w:p w:rsidRPr="00A706FD" w:rsidR="00601BD0" w:rsidP="00601BD0" w:rsidRDefault="00601BD0" w14:paraId="683B37F7" w14:textId="5F3B4FD0">
      <w:pPr>
        <w:rPr>
          <w:sz w:val="23"/>
          <w:szCs w:val="23"/>
        </w:rPr>
      </w:pPr>
      <w:r>
        <w:rPr>
          <w:rStyle w:val="FootnoteReference"/>
        </w:rPr>
        <w:footnoteRef/>
      </w:r>
      <w:r>
        <w:t xml:space="preserve">  COGA notes that </w:t>
      </w:r>
      <w:r>
        <w:rPr>
          <w:sz w:val="23"/>
          <w:szCs w:val="23"/>
        </w:rPr>
        <w:t xml:space="preserve">BLM personnel mentioned at </w:t>
      </w:r>
      <w:r w:rsidR="00A20EDE">
        <w:rPr>
          <w:sz w:val="23"/>
          <w:szCs w:val="23"/>
        </w:rPr>
        <w:t xml:space="preserve">the </w:t>
      </w:r>
      <w:r w:rsidRPr="00A706FD">
        <w:rPr>
          <w:sz w:val="23"/>
          <w:szCs w:val="23"/>
        </w:rPr>
        <w:t>BLM regional leadership open house in Grand Junction on August 11, 2022</w:t>
      </w:r>
      <w:r>
        <w:rPr>
          <w:sz w:val="23"/>
          <w:szCs w:val="23"/>
        </w:rPr>
        <w:t xml:space="preserve">, that </w:t>
      </w:r>
      <w:r w:rsidR="000514DA">
        <w:rPr>
          <w:sz w:val="23"/>
          <w:szCs w:val="23"/>
        </w:rPr>
        <w:t xml:space="preserve">BLM </w:t>
      </w:r>
      <w:r w:rsidRPr="00A706FD">
        <w:rPr>
          <w:sz w:val="23"/>
          <w:szCs w:val="23"/>
        </w:rPr>
        <w:t xml:space="preserve">was considering </w:t>
      </w:r>
      <w:r w:rsidR="00AF46D4">
        <w:rPr>
          <w:sz w:val="23"/>
          <w:szCs w:val="23"/>
        </w:rPr>
        <w:t>applying</w:t>
      </w:r>
      <w:r w:rsidRPr="00A706FD">
        <w:rPr>
          <w:sz w:val="23"/>
          <w:szCs w:val="23"/>
        </w:rPr>
        <w:t xml:space="preserve"> density and disturbance tools similar to the ones adopted in the Greater Sage Grouse RMP</w:t>
      </w:r>
      <w:r w:rsidR="00AF46D4">
        <w:rPr>
          <w:sz w:val="23"/>
          <w:szCs w:val="23"/>
        </w:rPr>
        <w:t xml:space="preserve"> amendment</w:t>
      </w:r>
      <w:r w:rsidRPr="00A706FD">
        <w:rPr>
          <w:sz w:val="23"/>
          <w:szCs w:val="23"/>
        </w:rPr>
        <w:t xml:space="preserve"> to big</w:t>
      </w:r>
      <w:r w:rsidR="00AF46D4">
        <w:rPr>
          <w:sz w:val="23"/>
          <w:szCs w:val="23"/>
        </w:rPr>
        <w:t xml:space="preserve"> </w:t>
      </w:r>
      <w:r w:rsidRPr="00A706FD">
        <w:rPr>
          <w:sz w:val="23"/>
          <w:szCs w:val="23"/>
        </w:rPr>
        <w:t xml:space="preserve">game in this </w:t>
      </w:r>
      <w:r w:rsidR="00AF46D4">
        <w:rPr>
          <w:sz w:val="23"/>
          <w:szCs w:val="23"/>
        </w:rPr>
        <w:t>amendment</w:t>
      </w:r>
      <w:r w:rsidRPr="00A706FD">
        <w:rPr>
          <w:sz w:val="23"/>
          <w:szCs w:val="23"/>
        </w:rPr>
        <w:t xml:space="preserve"> These tool</w:t>
      </w:r>
      <w:r>
        <w:rPr>
          <w:sz w:val="23"/>
          <w:szCs w:val="23"/>
        </w:rPr>
        <w:t xml:space="preserve">s, which include a </w:t>
      </w:r>
      <w:r w:rsidRPr="00A706FD">
        <w:rPr>
          <w:sz w:val="23"/>
          <w:szCs w:val="23"/>
        </w:rPr>
        <w:t xml:space="preserve">3% disturbance cap and 1 </w:t>
      </w:r>
      <w:r w:rsidR="00AF46D4">
        <w:rPr>
          <w:sz w:val="23"/>
          <w:szCs w:val="23"/>
        </w:rPr>
        <w:t xml:space="preserve">development </w:t>
      </w:r>
      <w:r w:rsidRPr="00A706FD">
        <w:rPr>
          <w:sz w:val="23"/>
          <w:szCs w:val="23"/>
        </w:rPr>
        <w:t>per 640 acres density cap</w:t>
      </w:r>
      <w:r w:rsidR="000514DA">
        <w:rPr>
          <w:sz w:val="23"/>
          <w:szCs w:val="23"/>
        </w:rPr>
        <w:t xml:space="preserve">, </w:t>
      </w:r>
      <w:r w:rsidRPr="00A706FD">
        <w:rPr>
          <w:sz w:val="23"/>
          <w:szCs w:val="23"/>
        </w:rPr>
        <w:t>were developed using science specific to Greater Sage Grouse in Wyoming</w:t>
      </w:r>
      <w:r w:rsidR="00AF46D4">
        <w:rPr>
          <w:sz w:val="23"/>
          <w:szCs w:val="23"/>
        </w:rPr>
        <w:t xml:space="preserve">.  </w:t>
      </w:r>
      <w:r>
        <w:rPr>
          <w:sz w:val="23"/>
          <w:szCs w:val="23"/>
        </w:rPr>
        <w:t>Industry requests that</w:t>
      </w:r>
      <w:r w:rsidR="00631225">
        <w:rPr>
          <w:sz w:val="23"/>
          <w:szCs w:val="23"/>
        </w:rPr>
        <w:t>, if BLM does not defer to CPW/COGCC, which industry believes is a more protective alternative for wilidlife,</w:t>
      </w:r>
      <w:r>
        <w:rPr>
          <w:sz w:val="23"/>
          <w:szCs w:val="23"/>
        </w:rPr>
        <w:t xml:space="preserve"> BLM refrain from using any disturbance or density cap unless they have been </w:t>
      </w:r>
      <w:r w:rsidRPr="00A706FD">
        <w:rPr>
          <w:sz w:val="23"/>
          <w:szCs w:val="23"/>
        </w:rPr>
        <w:t>developed</w:t>
      </w:r>
      <w:r w:rsidRPr="00E77C1C">
        <w:rPr>
          <w:sz w:val="23"/>
          <w:szCs w:val="23"/>
        </w:rPr>
        <w:t xml:space="preserve"> </w:t>
      </w:r>
      <w:r>
        <w:rPr>
          <w:sz w:val="23"/>
          <w:szCs w:val="23"/>
        </w:rPr>
        <w:t xml:space="preserve">on a site-specific basis </w:t>
      </w:r>
      <w:r w:rsidRPr="00A706FD">
        <w:rPr>
          <w:sz w:val="23"/>
          <w:szCs w:val="23"/>
        </w:rPr>
        <w:t>specific to big</w:t>
      </w:r>
      <w:r w:rsidR="00AF46D4">
        <w:rPr>
          <w:sz w:val="23"/>
          <w:szCs w:val="23"/>
        </w:rPr>
        <w:t xml:space="preserve"> </w:t>
      </w:r>
      <w:r w:rsidRPr="00A706FD">
        <w:rPr>
          <w:sz w:val="23"/>
          <w:szCs w:val="23"/>
        </w:rPr>
        <w:t xml:space="preserve">game habitat </w:t>
      </w:r>
      <w:r>
        <w:rPr>
          <w:sz w:val="23"/>
          <w:szCs w:val="23"/>
        </w:rPr>
        <w:t xml:space="preserve">using the best </w:t>
      </w:r>
      <w:r w:rsidRPr="00A706FD">
        <w:rPr>
          <w:sz w:val="23"/>
          <w:szCs w:val="23"/>
        </w:rPr>
        <w:t xml:space="preserve">available science </w:t>
      </w:r>
      <w:r>
        <w:rPr>
          <w:sz w:val="23"/>
          <w:szCs w:val="23"/>
        </w:rPr>
        <w:t xml:space="preserve">for big game </w:t>
      </w:r>
      <w:r w:rsidR="00AF46D4">
        <w:rPr>
          <w:sz w:val="23"/>
          <w:szCs w:val="23"/>
        </w:rPr>
        <w:t>issues specific to</w:t>
      </w:r>
      <w:r w:rsidRPr="00A706FD">
        <w:rPr>
          <w:sz w:val="23"/>
          <w:szCs w:val="23"/>
        </w:rPr>
        <w:t xml:space="preserve"> Colorado.    </w:t>
      </w:r>
    </w:p>
    <w:p w:rsidR="00601BD0" w:rsidRDefault="00601BD0" w14:paraId="42DEF0EC" w14:textId="77777777">
      <w:pPr>
        <w:pStyle w:val="FootnoteText"/>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1FE" w:rsidP="008231C8" w:rsidRDefault="006E4EC7" w14:paraId="1C6614D3" w14:textId="2856B1AC">
    <w:pPr>
      <w:pStyle w:val="Header"/>
      <w:tabs>
        <w:tab w:val="left" w:pos="5760"/>
      </w:tabs>
    </w:pPr>
    <w:r>
      <w:rPr>
        <w:noProof/>
      </w:rPr>
      <w:drawing>
        <wp:inline distT="0" distB="0" distL="0" distR="0" wp14:anchorId="760370C8" wp14:editId="0E7B2255">
          <wp:extent cx="1000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Pr>
        <w:noProof/>
      </w:rPr>
      <w:drawing>
        <wp:inline distT="0" distB="0" distL="0" distR="0" wp14:anchorId="416DE484" wp14:editId="73A37C43">
          <wp:extent cx="1086256"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90359" cy="382439"/>
                  </a:xfrm>
                  <a:prstGeom prst="rect">
                    <a:avLst/>
                  </a:prstGeom>
                  <a:noFill/>
                  <a:ln>
                    <a:noFill/>
                  </a:ln>
                </pic:spPr>
              </pic:pic>
            </a:graphicData>
          </a:graphic>
        </wp:inline>
      </w:drawing>
    </w:r>
    <w:r w:rsidR="008231C8">
      <w:t xml:space="preserve">  </w:t>
    </w:r>
    <w:r w:rsidR="008231C8">
      <w:rPr>
        <w:noProof/>
      </w:rPr>
      <w:drawing>
        <wp:inline distT="0" distB="0" distL="0" distR="0" wp14:anchorId="13761BD3" wp14:editId="2A49D394">
          <wp:extent cx="1323975" cy="55222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7997" cy="566412"/>
                  </a:xfrm>
                  <a:prstGeom prst="rect">
                    <a:avLst/>
                  </a:prstGeom>
                </pic:spPr>
              </pic:pic>
            </a:graphicData>
          </a:graphic>
        </wp:inline>
      </w:drawing>
    </w:r>
    <w:r w:rsidR="008231C8">
      <w:rPr>
        <w:noProof/>
      </w:rPr>
      <w:drawing>
        <wp:inline distT="0" distB="0" distL="0" distR="0" wp14:anchorId="20EADC3E" wp14:editId="79BF7140">
          <wp:extent cx="2260168" cy="3333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5558" cy="343020"/>
                  </a:xfrm>
                  <a:prstGeom prst="rect">
                    <a:avLst/>
                  </a:prstGeom>
                  <a:noFill/>
                  <a:ln>
                    <a:noFill/>
                  </a:ln>
                </pic:spPr>
              </pic:pic>
            </a:graphicData>
          </a:graphic>
        </wp:inline>
      </w:drawing>
    </w:r>
  </w:p>
  <w:p w:rsidR="006E4EC7" w:rsidP="006E4EC7" w:rsidRDefault="006E4EC7" w14:paraId="74C4F873" w14:textId="437C4BD0">
    <w:pPr>
      <w:pStyle w:val="Header"/>
      <w:tabs>
        <w:tab w:val="clear" w:pos="4680"/>
        <w:tab w:val="clear" w:pos="9360"/>
        <w:tab w:val="left" w:pos="3600"/>
      </w:tabs>
    </w:pPr>
  </w:p>
  <w:p w:rsidR="006E4EC7" w:rsidP="006E4EC7" w:rsidRDefault="006E4EC7" w14:paraId="1275441B" w14:textId="02F25E71">
    <w:pPr>
      <w:pStyle w:val="Header"/>
      <w:tabs>
        <w:tab w:val="clear" w:pos="4680"/>
        <w:tab w:val="clear" w:pos="9360"/>
        <w:tab w:val="left" w:pos="3600"/>
      </w:tabs>
    </w:pPr>
  </w:p>
  <w:p w:rsidRPr="006661FE" w:rsidR="006661FE" w:rsidP="006661FE" w:rsidRDefault="006661FE" w14:paraId="1D6BEE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F3C"/>
    <w:multiLevelType w:val="hybridMultilevel"/>
    <w:tmpl w:val="E36E985E"/>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15:restartNumberingAfterBreak="0">
    <w:nsid w:val="1A62678A"/>
    <w:multiLevelType w:val="multilevel"/>
    <w:tmpl w:val="20D870DA"/>
    <w:lvl w:ilvl="0">
      <w:start w:val="1"/>
      <w:numFmt w:val="decimal"/>
      <w:pStyle w:val="ArticleL1"/>
      <w:suff w:val="nothing"/>
      <w:lvlText w:val="Article %1"/>
      <w:lvlJc w:val="left"/>
      <w:pPr>
        <w:tabs>
          <w:tab w:val="num" w:pos="720"/>
        </w:tabs>
        <w:ind w:left="0" w:firstLine="0"/>
      </w:pPr>
      <w:rPr>
        <w:b/>
        <w:i w:val="0"/>
        <w:caps/>
        <w:smallCaps w:val="0"/>
        <w:color w:val="auto"/>
        <w:u w:val="none"/>
      </w:rPr>
    </w:lvl>
    <w:lvl w:ilvl="1">
      <w:start w:val="1"/>
      <w:numFmt w:val="decimal"/>
      <w:pStyle w:val="ArticleL2"/>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pStyle w:val="ArticleL3"/>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5040"/>
        </w:tabs>
        <w:ind w:left="0" w:firstLine="4320"/>
      </w:pPr>
      <w:rPr>
        <w:b w:val="0"/>
        <w:i w:val="0"/>
        <w:caps w:val="0"/>
        <w:color w:val="auto"/>
        <w:u w:val="none"/>
      </w:rPr>
    </w:lvl>
    <w:lvl w:ilvl="7">
      <w:start w:val="1"/>
      <w:numFmt w:val="lowerRoman"/>
      <w:pStyle w:val="ArticleL8"/>
      <w:lvlText w:val="%8."/>
      <w:lvlJc w:val="left"/>
      <w:pPr>
        <w:tabs>
          <w:tab w:val="num" w:pos="5760"/>
        </w:tabs>
        <w:ind w:left="0" w:firstLine="5040"/>
      </w:pPr>
      <w:rPr>
        <w:b w:val="0"/>
        <w:i w:val="0"/>
        <w:caps w:val="0"/>
        <w:color w:val="auto"/>
        <w:u w:val="none"/>
      </w:rPr>
    </w:lvl>
    <w:lvl w:ilvl="8">
      <w:start w:val="1"/>
      <w:numFmt w:val="decimal"/>
      <w:pStyle w:val="ArticleL9"/>
      <w:lvlText w:val="%9."/>
      <w:lvlJc w:val="left"/>
      <w:pPr>
        <w:tabs>
          <w:tab w:val="num" w:pos="6480"/>
        </w:tabs>
        <w:ind w:left="0" w:firstLine="5760"/>
      </w:pPr>
      <w:rPr>
        <w:b w:val="0"/>
        <w:i w:val="0"/>
        <w:caps w:val="0"/>
        <w:color w:val="auto"/>
        <w:u w:val="none"/>
      </w:rPr>
    </w:lvl>
  </w:abstractNum>
  <w:abstractNum w:abstractNumId="2" w15:restartNumberingAfterBreak="0">
    <w:nsid w:val="33DF2EC5"/>
    <w:multiLevelType w:val="hybridMultilevel"/>
    <w:tmpl w:val="739468B2"/>
    <w:lvl w:ilvl="0" w:tplc="17289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A2F4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95E3C"/>
    <w:multiLevelType w:val="multilevel"/>
    <w:tmpl w:val="6EEE026A"/>
    <w:lvl w:ilvl="0">
      <w:start w:val="1"/>
      <w:numFmt w:val="decimal"/>
      <w:suff w:val="nothing"/>
      <w:lvlText w:val="Article %1"/>
      <w:lvlJc w:val="left"/>
      <w:pPr>
        <w:tabs>
          <w:tab w:val="num" w:pos="720"/>
        </w:tabs>
        <w:ind w:left="0" w:firstLine="0"/>
      </w:pPr>
      <w:rPr>
        <w:b/>
        <w:i w:val="0"/>
        <w:caps/>
        <w:smallCaps w:val="0"/>
        <w:color w:val="auto"/>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4" w15:restartNumberingAfterBreak="0">
    <w:nsid w:val="45F20700"/>
    <w:multiLevelType w:val="hybridMultilevel"/>
    <w:tmpl w:val="89586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26B93"/>
    <w:multiLevelType w:val="hybridMultilevel"/>
    <w:tmpl w:val="B9C40B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F5"/>
    <w:rsid w:val="00003371"/>
    <w:rsid w:val="00006456"/>
    <w:rsid w:val="00015EED"/>
    <w:rsid w:val="000274E4"/>
    <w:rsid w:val="000313F9"/>
    <w:rsid w:val="00047D5F"/>
    <w:rsid w:val="000514DA"/>
    <w:rsid w:val="00053803"/>
    <w:rsid w:val="000614A9"/>
    <w:rsid w:val="00064B7E"/>
    <w:rsid w:val="00065ED8"/>
    <w:rsid w:val="00074E97"/>
    <w:rsid w:val="00074EF4"/>
    <w:rsid w:val="000846D7"/>
    <w:rsid w:val="00085B90"/>
    <w:rsid w:val="0008749E"/>
    <w:rsid w:val="000D5FBD"/>
    <w:rsid w:val="000E069B"/>
    <w:rsid w:val="000E1463"/>
    <w:rsid w:val="000E3EEB"/>
    <w:rsid w:val="000E4B6C"/>
    <w:rsid w:val="001144E5"/>
    <w:rsid w:val="00127093"/>
    <w:rsid w:val="001348A0"/>
    <w:rsid w:val="00137CFF"/>
    <w:rsid w:val="00154606"/>
    <w:rsid w:val="00165DDA"/>
    <w:rsid w:val="00182690"/>
    <w:rsid w:val="0018439B"/>
    <w:rsid w:val="001A004E"/>
    <w:rsid w:val="001A5E1B"/>
    <w:rsid w:val="001D77C8"/>
    <w:rsid w:val="001E4E65"/>
    <w:rsid w:val="001F6B34"/>
    <w:rsid w:val="00202608"/>
    <w:rsid w:val="002029D7"/>
    <w:rsid w:val="00207D97"/>
    <w:rsid w:val="00211E23"/>
    <w:rsid w:val="002412FA"/>
    <w:rsid w:val="00243B16"/>
    <w:rsid w:val="00251F51"/>
    <w:rsid w:val="002650BB"/>
    <w:rsid w:val="00266C81"/>
    <w:rsid w:val="002B1594"/>
    <w:rsid w:val="002B21DD"/>
    <w:rsid w:val="002B63F3"/>
    <w:rsid w:val="002C41E7"/>
    <w:rsid w:val="002C4F02"/>
    <w:rsid w:val="002D011B"/>
    <w:rsid w:val="002D1BDB"/>
    <w:rsid w:val="002D7B7F"/>
    <w:rsid w:val="002F038D"/>
    <w:rsid w:val="00300DFE"/>
    <w:rsid w:val="00301343"/>
    <w:rsid w:val="003044FC"/>
    <w:rsid w:val="00327995"/>
    <w:rsid w:val="00344798"/>
    <w:rsid w:val="00362A95"/>
    <w:rsid w:val="003644A5"/>
    <w:rsid w:val="00366BF9"/>
    <w:rsid w:val="0037422E"/>
    <w:rsid w:val="0037708E"/>
    <w:rsid w:val="00382051"/>
    <w:rsid w:val="003962FC"/>
    <w:rsid w:val="003A2727"/>
    <w:rsid w:val="003B7709"/>
    <w:rsid w:val="003C5DAD"/>
    <w:rsid w:val="003D4CC1"/>
    <w:rsid w:val="003E6667"/>
    <w:rsid w:val="003F3775"/>
    <w:rsid w:val="004222BB"/>
    <w:rsid w:val="0043362B"/>
    <w:rsid w:val="004346E3"/>
    <w:rsid w:val="00434E3B"/>
    <w:rsid w:val="0043533B"/>
    <w:rsid w:val="0044547D"/>
    <w:rsid w:val="00453E3A"/>
    <w:rsid w:val="00464A7E"/>
    <w:rsid w:val="00474CB2"/>
    <w:rsid w:val="004960D0"/>
    <w:rsid w:val="004A0F70"/>
    <w:rsid w:val="004A14DD"/>
    <w:rsid w:val="004C0887"/>
    <w:rsid w:val="004C3A69"/>
    <w:rsid w:val="004C4232"/>
    <w:rsid w:val="004D711A"/>
    <w:rsid w:val="004F45A7"/>
    <w:rsid w:val="0050787F"/>
    <w:rsid w:val="0052409F"/>
    <w:rsid w:val="00531C08"/>
    <w:rsid w:val="00542683"/>
    <w:rsid w:val="00543EEE"/>
    <w:rsid w:val="0054738E"/>
    <w:rsid w:val="00563B9A"/>
    <w:rsid w:val="005640B7"/>
    <w:rsid w:val="0057707C"/>
    <w:rsid w:val="005773F1"/>
    <w:rsid w:val="005871AC"/>
    <w:rsid w:val="0058755C"/>
    <w:rsid w:val="005C6401"/>
    <w:rsid w:val="00601BD0"/>
    <w:rsid w:val="00616B2C"/>
    <w:rsid w:val="00616B83"/>
    <w:rsid w:val="00616FE3"/>
    <w:rsid w:val="0062768B"/>
    <w:rsid w:val="00631225"/>
    <w:rsid w:val="00656766"/>
    <w:rsid w:val="006661FE"/>
    <w:rsid w:val="00674E50"/>
    <w:rsid w:val="006946CB"/>
    <w:rsid w:val="006C0C93"/>
    <w:rsid w:val="006C3050"/>
    <w:rsid w:val="006C5B19"/>
    <w:rsid w:val="006C79C8"/>
    <w:rsid w:val="006D382E"/>
    <w:rsid w:val="006E4EC7"/>
    <w:rsid w:val="006E6AB2"/>
    <w:rsid w:val="0071442D"/>
    <w:rsid w:val="00725D86"/>
    <w:rsid w:val="00726D8E"/>
    <w:rsid w:val="0074218C"/>
    <w:rsid w:val="00747EBF"/>
    <w:rsid w:val="0075213E"/>
    <w:rsid w:val="0077270F"/>
    <w:rsid w:val="007818CA"/>
    <w:rsid w:val="00786464"/>
    <w:rsid w:val="007E1B74"/>
    <w:rsid w:val="007E4C5A"/>
    <w:rsid w:val="00804567"/>
    <w:rsid w:val="00813CE2"/>
    <w:rsid w:val="008231C8"/>
    <w:rsid w:val="008244A7"/>
    <w:rsid w:val="00853E01"/>
    <w:rsid w:val="008628EA"/>
    <w:rsid w:val="00876533"/>
    <w:rsid w:val="00883A8F"/>
    <w:rsid w:val="0089793E"/>
    <w:rsid w:val="008A00CA"/>
    <w:rsid w:val="008A44EB"/>
    <w:rsid w:val="008C3549"/>
    <w:rsid w:val="008D09C9"/>
    <w:rsid w:val="008E67FE"/>
    <w:rsid w:val="008E7385"/>
    <w:rsid w:val="008F1857"/>
    <w:rsid w:val="008F20BE"/>
    <w:rsid w:val="008F7A6B"/>
    <w:rsid w:val="00917B98"/>
    <w:rsid w:val="00935CA1"/>
    <w:rsid w:val="00942CC8"/>
    <w:rsid w:val="00943DA9"/>
    <w:rsid w:val="009474DF"/>
    <w:rsid w:val="00952DD6"/>
    <w:rsid w:val="0096229F"/>
    <w:rsid w:val="00980C8C"/>
    <w:rsid w:val="00981C56"/>
    <w:rsid w:val="009A437E"/>
    <w:rsid w:val="009A4F33"/>
    <w:rsid w:val="009C15F5"/>
    <w:rsid w:val="009C3E61"/>
    <w:rsid w:val="009C4280"/>
    <w:rsid w:val="009C6792"/>
    <w:rsid w:val="009E09CB"/>
    <w:rsid w:val="009E5CF4"/>
    <w:rsid w:val="009F43A8"/>
    <w:rsid w:val="00A02281"/>
    <w:rsid w:val="00A02FD1"/>
    <w:rsid w:val="00A11CCF"/>
    <w:rsid w:val="00A14E8D"/>
    <w:rsid w:val="00A20EDE"/>
    <w:rsid w:val="00A36723"/>
    <w:rsid w:val="00A4105C"/>
    <w:rsid w:val="00A4602B"/>
    <w:rsid w:val="00A46385"/>
    <w:rsid w:val="00A51AE8"/>
    <w:rsid w:val="00A70945"/>
    <w:rsid w:val="00A77966"/>
    <w:rsid w:val="00A8673B"/>
    <w:rsid w:val="00A9513D"/>
    <w:rsid w:val="00AA2129"/>
    <w:rsid w:val="00AB24C1"/>
    <w:rsid w:val="00AB3EF2"/>
    <w:rsid w:val="00AF46D4"/>
    <w:rsid w:val="00B22098"/>
    <w:rsid w:val="00B22FF0"/>
    <w:rsid w:val="00B23BD0"/>
    <w:rsid w:val="00B300CA"/>
    <w:rsid w:val="00B42E16"/>
    <w:rsid w:val="00B45711"/>
    <w:rsid w:val="00B85289"/>
    <w:rsid w:val="00B87BB1"/>
    <w:rsid w:val="00B930E0"/>
    <w:rsid w:val="00BA400C"/>
    <w:rsid w:val="00BA414D"/>
    <w:rsid w:val="00BA4A75"/>
    <w:rsid w:val="00BA4C60"/>
    <w:rsid w:val="00BC28E9"/>
    <w:rsid w:val="00BC32F3"/>
    <w:rsid w:val="00BC4142"/>
    <w:rsid w:val="00BC62E2"/>
    <w:rsid w:val="00BD786A"/>
    <w:rsid w:val="00BE62D3"/>
    <w:rsid w:val="00BE7992"/>
    <w:rsid w:val="00BF5350"/>
    <w:rsid w:val="00C11C8A"/>
    <w:rsid w:val="00C12C8A"/>
    <w:rsid w:val="00C23C18"/>
    <w:rsid w:val="00C33B79"/>
    <w:rsid w:val="00C34EE0"/>
    <w:rsid w:val="00C35F18"/>
    <w:rsid w:val="00C40AFA"/>
    <w:rsid w:val="00C50509"/>
    <w:rsid w:val="00C50744"/>
    <w:rsid w:val="00C722FC"/>
    <w:rsid w:val="00C876CA"/>
    <w:rsid w:val="00C9649D"/>
    <w:rsid w:val="00CB6E47"/>
    <w:rsid w:val="00CB7D09"/>
    <w:rsid w:val="00CC1FE7"/>
    <w:rsid w:val="00CF1D1C"/>
    <w:rsid w:val="00D0000A"/>
    <w:rsid w:val="00D00246"/>
    <w:rsid w:val="00D005D8"/>
    <w:rsid w:val="00D0210D"/>
    <w:rsid w:val="00D0271E"/>
    <w:rsid w:val="00D03723"/>
    <w:rsid w:val="00D13290"/>
    <w:rsid w:val="00D15F80"/>
    <w:rsid w:val="00D237DD"/>
    <w:rsid w:val="00D26EA4"/>
    <w:rsid w:val="00D475FD"/>
    <w:rsid w:val="00D5098D"/>
    <w:rsid w:val="00D75810"/>
    <w:rsid w:val="00DA76E6"/>
    <w:rsid w:val="00DC5023"/>
    <w:rsid w:val="00DE0049"/>
    <w:rsid w:val="00DE1079"/>
    <w:rsid w:val="00DE6AE9"/>
    <w:rsid w:val="00E16213"/>
    <w:rsid w:val="00E17F54"/>
    <w:rsid w:val="00E324B0"/>
    <w:rsid w:val="00E340F7"/>
    <w:rsid w:val="00E4738D"/>
    <w:rsid w:val="00E47A85"/>
    <w:rsid w:val="00E47ABC"/>
    <w:rsid w:val="00E62EC5"/>
    <w:rsid w:val="00E65A8D"/>
    <w:rsid w:val="00E80BD9"/>
    <w:rsid w:val="00E82998"/>
    <w:rsid w:val="00E922B8"/>
    <w:rsid w:val="00EB3592"/>
    <w:rsid w:val="00EB3AC6"/>
    <w:rsid w:val="00EC1776"/>
    <w:rsid w:val="00EF692A"/>
    <w:rsid w:val="00F12395"/>
    <w:rsid w:val="00F36BAD"/>
    <w:rsid w:val="00F6425D"/>
    <w:rsid w:val="00F75266"/>
    <w:rsid w:val="00F7612C"/>
    <w:rsid w:val="00F84F70"/>
    <w:rsid w:val="00FC363C"/>
    <w:rsid w:val="00FC3BB4"/>
    <w:rsid w:val="00FD1762"/>
    <w:rsid w:val="00FD1834"/>
    <w:rsid w:val="00FF002F"/>
    <w:rsid w:val="00FF0482"/>
    <w:rsid w:val="00FF0838"/>
    <w:rsid w:val="00FF636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1E353622"/>
  <w15:chartTrackingRefBased/>
  <w15:docId w15:val="{9DAC0230-3A52-457F-B017-0F9C6C1C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0049"/>
    <w:pPr>
      <w:spacing w:after="0" w:line="240" w:lineRule="auto"/>
    </w:pPr>
    <w:rPr>
      <w:rFonts w:ascii="Times New Roman" w:hAnsi="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ticleCont1" w:customStyle="1">
    <w:name w:val="Article Cont 1"/>
    <w:basedOn w:val="Normal"/>
    <w:rsid w:val="00656766"/>
    <w:pPr>
      <w:spacing w:after="240"/>
    </w:pPr>
    <w:rPr>
      <w:szCs w:val="20"/>
    </w:rPr>
  </w:style>
  <w:style w:type="paragraph" w:styleId="ArticleCont2" w:customStyle="1">
    <w:name w:val="Article Cont 2"/>
    <w:basedOn w:val="ArticleCont1"/>
    <w:rsid w:val="00656766"/>
  </w:style>
  <w:style w:type="paragraph" w:styleId="ArticleCont3" w:customStyle="1">
    <w:name w:val="Article Cont 3"/>
    <w:basedOn w:val="ArticleCont2"/>
    <w:rsid w:val="00656766"/>
  </w:style>
  <w:style w:type="paragraph" w:styleId="ArticleCont4" w:customStyle="1">
    <w:name w:val="Article Cont 4"/>
    <w:basedOn w:val="ArticleCont3"/>
    <w:rsid w:val="00656766"/>
  </w:style>
  <w:style w:type="paragraph" w:styleId="ArticleCont5" w:customStyle="1">
    <w:name w:val="Article Cont 5"/>
    <w:basedOn w:val="ArticleCont4"/>
    <w:rsid w:val="00656766"/>
  </w:style>
  <w:style w:type="paragraph" w:styleId="ArticleCont6" w:customStyle="1">
    <w:name w:val="Article Cont 6"/>
    <w:basedOn w:val="ArticleCont5"/>
    <w:rsid w:val="00656766"/>
  </w:style>
  <w:style w:type="paragraph" w:styleId="ArticleCont7" w:customStyle="1">
    <w:name w:val="Article Cont 7"/>
    <w:basedOn w:val="ArticleCont6"/>
    <w:rsid w:val="00656766"/>
  </w:style>
  <w:style w:type="paragraph" w:styleId="ArticleCont8" w:customStyle="1">
    <w:name w:val="Article Cont 8"/>
    <w:basedOn w:val="ArticleCont7"/>
    <w:rsid w:val="00656766"/>
  </w:style>
  <w:style w:type="paragraph" w:styleId="ArticleCont9" w:customStyle="1">
    <w:name w:val="Article Cont 9"/>
    <w:basedOn w:val="ArticleCont8"/>
    <w:rsid w:val="00656766"/>
  </w:style>
  <w:style w:type="paragraph" w:styleId="ArticleL1" w:customStyle="1">
    <w:name w:val="Article_L1"/>
    <w:basedOn w:val="Normal"/>
    <w:next w:val="BodyText"/>
    <w:rsid w:val="00656766"/>
    <w:pPr>
      <w:numPr>
        <w:numId w:val="9"/>
      </w:numPr>
      <w:spacing w:after="240"/>
      <w:jc w:val="center"/>
      <w:outlineLvl w:val="0"/>
    </w:pPr>
    <w:rPr>
      <w:b/>
      <w:caps/>
      <w:szCs w:val="20"/>
      <w:u w:val="single"/>
    </w:rPr>
  </w:style>
  <w:style w:type="paragraph" w:styleId="BodyText">
    <w:name w:val="Body Text"/>
    <w:basedOn w:val="Normal"/>
    <w:link w:val="BodyTextChar"/>
    <w:uiPriority w:val="1"/>
    <w:qFormat/>
    <w:rsid w:val="008A44EB"/>
    <w:pPr>
      <w:spacing w:after="240"/>
      <w:ind w:firstLine="720"/>
    </w:pPr>
  </w:style>
  <w:style w:type="character" w:styleId="BodyTextChar" w:customStyle="1">
    <w:name w:val="Body Text Char"/>
    <w:basedOn w:val="DefaultParagraphFont"/>
    <w:link w:val="BodyText"/>
    <w:uiPriority w:val="1"/>
    <w:rsid w:val="008A44EB"/>
    <w:rPr>
      <w:rFonts w:ascii="Times New Roman" w:hAnsi="Times New Roman" w:eastAsiaTheme="minorHAnsi"/>
      <w:sz w:val="24"/>
      <w:lang w:eastAsia="en-US"/>
    </w:rPr>
  </w:style>
  <w:style w:type="paragraph" w:styleId="ArticleL2" w:customStyle="1">
    <w:name w:val="Article_L2"/>
    <w:basedOn w:val="ArticleL1"/>
    <w:next w:val="BodyText"/>
    <w:rsid w:val="00656766"/>
    <w:pPr>
      <w:numPr>
        <w:ilvl w:val="1"/>
      </w:numPr>
      <w:jc w:val="left"/>
      <w:outlineLvl w:val="1"/>
    </w:pPr>
    <w:rPr>
      <w:b w:val="0"/>
      <w:caps w:val="0"/>
      <w:u w:val="none"/>
    </w:rPr>
  </w:style>
  <w:style w:type="paragraph" w:styleId="ArticleL3" w:customStyle="1">
    <w:name w:val="Article_L3"/>
    <w:basedOn w:val="ArticleL2"/>
    <w:next w:val="BodyText"/>
    <w:rsid w:val="00656766"/>
    <w:pPr>
      <w:numPr>
        <w:ilvl w:val="2"/>
      </w:numPr>
      <w:outlineLvl w:val="2"/>
    </w:pPr>
  </w:style>
  <w:style w:type="paragraph" w:styleId="ArticleL4" w:customStyle="1">
    <w:name w:val="Article_L4"/>
    <w:basedOn w:val="ArticleL3"/>
    <w:next w:val="BodyText"/>
    <w:rsid w:val="00656766"/>
    <w:pPr>
      <w:numPr>
        <w:ilvl w:val="3"/>
      </w:numPr>
      <w:outlineLvl w:val="3"/>
    </w:pPr>
  </w:style>
  <w:style w:type="paragraph" w:styleId="ArticleL5" w:customStyle="1">
    <w:name w:val="Article_L5"/>
    <w:basedOn w:val="ArticleL4"/>
    <w:next w:val="BodyText"/>
    <w:rsid w:val="00656766"/>
    <w:pPr>
      <w:numPr>
        <w:ilvl w:val="4"/>
      </w:numPr>
      <w:outlineLvl w:val="4"/>
    </w:pPr>
  </w:style>
  <w:style w:type="paragraph" w:styleId="ArticleL6" w:customStyle="1">
    <w:name w:val="Article_L6"/>
    <w:basedOn w:val="ArticleL5"/>
    <w:next w:val="BodyText"/>
    <w:rsid w:val="00656766"/>
    <w:pPr>
      <w:numPr>
        <w:ilvl w:val="5"/>
      </w:numPr>
      <w:outlineLvl w:val="5"/>
    </w:pPr>
  </w:style>
  <w:style w:type="paragraph" w:styleId="ArticleL7" w:customStyle="1">
    <w:name w:val="Article_L7"/>
    <w:basedOn w:val="ArticleL6"/>
    <w:next w:val="BodyText"/>
    <w:rsid w:val="00656766"/>
    <w:pPr>
      <w:numPr>
        <w:ilvl w:val="6"/>
      </w:numPr>
      <w:outlineLvl w:val="6"/>
    </w:pPr>
  </w:style>
  <w:style w:type="paragraph" w:styleId="ArticleL8" w:customStyle="1">
    <w:name w:val="Article_L8"/>
    <w:basedOn w:val="ArticleL7"/>
    <w:next w:val="BodyText"/>
    <w:rsid w:val="00656766"/>
    <w:pPr>
      <w:numPr>
        <w:ilvl w:val="7"/>
      </w:numPr>
      <w:outlineLvl w:val="7"/>
    </w:pPr>
  </w:style>
  <w:style w:type="paragraph" w:styleId="ArticleL9" w:customStyle="1">
    <w:name w:val="Article_L9"/>
    <w:basedOn w:val="ArticleL8"/>
    <w:next w:val="BodyText"/>
    <w:rsid w:val="00656766"/>
    <w:pPr>
      <w:numPr>
        <w:ilvl w:val="8"/>
      </w:numPr>
      <w:outlineLvl w:val="8"/>
    </w:pPr>
  </w:style>
  <w:style w:type="paragraph" w:styleId="BodyTextContinued" w:customStyle="1">
    <w:name w:val="Body Text Continued"/>
    <w:basedOn w:val="BodyText"/>
    <w:next w:val="BodyText"/>
    <w:uiPriority w:val="2"/>
    <w:qFormat/>
    <w:rsid w:val="008A44EB"/>
    <w:pPr>
      <w:ind w:firstLine="0"/>
    </w:pPr>
    <w:rPr>
      <w:rFonts w:eastAsia="Times New Roman" w:cs="Times New Roman"/>
      <w:szCs w:val="20"/>
    </w:rPr>
  </w:style>
  <w:style w:type="paragraph" w:styleId="CenteredHeading" w:customStyle="1">
    <w:name w:val="Centered Heading"/>
    <w:basedOn w:val="Normal"/>
    <w:next w:val="Normal"/>
    <w:uiPriority w:val="3"/>
    <w:qFormat/>
    <w:rsid w:val="008A44EB"/>
    <w:pPr>
      <w:keepNext/>
      <w:spacing w:after="240"/>
      <w:jc w:val="center"/>
    </w:pPr>
    <w:rPr>
      <w:rFonts w:eastAsia="Times New Roman" w:cs="Times New Roman"/>
      <w:b/>
      <w:szCs w:val="20"/>
    </w:rPr>
  </w:style>
  <w:style w:type="paragraph" w:styleId="Footer">
    <w:name w:val="footer"/>
    <w:basedOn w:val="Normal"/>
    <w:link w:val="FooterChar"/>
    <w:uiPriority w:val="99"/>
    <w:unhideWhenUsed/>
    <w:rsid w:val="008A44EB"/>
    <w:pPr>
      <w:tabs>
        <w:tab w:val="center" w:pos="4680"/>
        <w:tab w:val="right" w:pos="9360"/>
      </w:tabs>
    </w:pPr>
  </w:style>
  <w:style w:type="character" w:styleId="FooterChar" w:customStyle="1">
    <w:name w:val="Footer Char"/>
    <w:basedOn w:val="DefaultParagraphFont"/>
    <w:link w:val="Footer"/>
    <w:uiPriority w:val="99"/>
    <w:rsid w:val="008A44EB"/>
    <w:rPr>
      <w:rFonts w:ascii="Times New Roman" w:hAnsi="Times New Roman" w:eastAsiaTheme="minorHAnsi"/>
      <w:sz w:val="24"/>
      <w:lang w:eastAsia="en-US"/>
    </w:rPr>
  </w:style>
  <w:style w:type="paragraph" w:styleId="Header">
    <w:name w:val="header"/>
    <w:basedOn w:val="Normal"/>
    <w:link w:val="HeaderChar"/>
    <w:uiPriority w:val="99"/>
    <w:unhideWhenUsed/>
    <w:rsid w:val="008A44EB"/>
    <w:pPr>
      <w:tabs>
        <w:tab w:val="center" w:pos="4680"/>
        <w:tab w:val="right" w:pos="9360"/>
      </w:tabs>
    </w:pPr>
  </w:style>
  <w:style w:type="character" w:styleId="HeaderChar" w:customStyle="1">
    <w:name w:val="Header Char"/>
    <w:basedOn w:val="DefaultParagraphFont"/>
    <w:link w:val="Header"/>
    <w:uiPriority w:val="99"/>
    <w:rsid w:val="008A44EB"/>
    <w:rPr>
      <w:rFonts w:ascii="Times New Roman" w:hAnsi="Times New Roman" w:eastAsiaTheme="minorHAnsi"/>
      <w:sz w:val="24"/>
      <w:lang w:eastAsia="en-US"/>
    </w:rPr>
  </w:style>
  <w:style w:type="paragraph" w:styleId="Notice" w:customStyle="1">
    <w:name w:val="Notice"/>
    <w:basedOn w:val="Normal"/>
    <w:uiPriority w:val="4"/>
    <w:qFormat/>
    <w:rsid w:val="008A44EB"/>
    <w:pPr>
      <w:keepLines/>
      <w:spacing w:after="240"/>
      <w:ind w:left="2880" w:hanging="2160"/>
    </w:pPr>
    <w:rPr>
      <w:rFonts w:eastAsia="Times New Roman" w:cs="Times New Roman"/>
      <w:szCs w:val="20"/>
    </w:rPr>
  </w:style>
  <w:style w:type="character" w:styleId="PageNumber">
    <w:name w:val="page number"/>
    <w:basedOn w:val="DefaultParagraphFont"/>
    <w:rsid w:val="00656766"/>
  </w:style>
  <w:style w:type="paragraph" w:styleId="Quote">
    <w:name w:val="Quote"/>
    <w:basedOn w:val="Normal"/>
    <w:next w:val="BodyTextContinued"/>
    <w:link w:val="QuoteChar"/>
    <w:uiPriority w:val="5"/>
    <w:qFormat/>
    <w:rsid w:val="008A44EB"/>
    <w:pPr>
      <w:spacing w:after="240"/>
      <w:ind w:left="1440" w:right="1440"/>
    </w:pPr>
    <w:rPr>
      <w:rFonts w:eastAsia="Times New Roman" w:cs="Times New Roman"/>
      <w:szCs w:val="20"/>
    </w:rPr>
  </w:style>
  <w:style w:type="character" w:styleId="QuoteChar" w:customStyle="1">
    <w:name w:val="Quote Char"/>
    <w:basedOn w:val="DefaultParagraphFont"/>
    <w:link w:val="Quote"/>
    <w:uiPriority w:val="5"/>
    <w:rsid w:val="008A44EB"/>
    <w:rPr>
      <w:rFonts w:ascii="Times New Roman" w:hAnsi="Times New Roman" w:eastAsia="Times New Roman" w:cs="Times New Roman"/>
      <w:sz w:val="24"/>
      <w:szCs w:val="20"/>
      <w:lang w:eastAsia="en-US"/>
    </w:rPr>
  </w:style>
  <w:style w:type="paragraph" w:styleId="SignatureBlock" w:customStyle="1">
    <w:name w:val="Signature Block"/>
    <w:basedOn w:val="Normal"/>
    <w:uiPriority w:val="6"/>
    <w:qFormat/>
    <w:rsid w:val="008A44EB"/>
    <w:pPr>
      <w:keepNext/>
      <w:tabs>
        <w:tab w:val="left" w:pos="5040"/>
        <w:tab w:val="right" w:leader="underscore" w:pos="9360"/>
      </w:tabs>
      <w:ind w:left="4320"/>
    </w:pPr>
    <w:rPr>
      <w:rFonts w:eastAsia="Times New Roman" w:cs="Times New Roman"/>
      <w:szCs w:val="20"/>
    </w:rPr>
  </w:style>
  <w:style w:type="paragraph" w:styleId="MacPacTrailer" w:customStyle="1">
    <w:name w:val="MacPac Trailer"/>
    <w:rsid w:val="0018439B"/>
    <w:pPr>
      <w:widowControl w:val="0"/>
      <w:spacing w:after="0" w:line="200" w:lineRule="exact"/>
    </w:pPr>
    <w:rPr>
      <w:rFonts w:ascii="Arial" w:hAnsi="Arial" w:eastAsia="Times New Roman" w:cs="Times New Roman"/>
      <w:sz w:val="16"/>
      <w:lang w:eastAsia="en-US"/>
    </w:rPr>
  </w:style>
  <w:style w:type="paragraph" w:styleId="BalloonText">
    <w:name w:val="Balloon Text"/>
    <w:basedOn w:val="Normal"/>
    <w:link w:val="BalloonTextChar"/>
    <w:uiPriority w:val="99"/>
    <w:semiHidden/>
    <w:unhideWhenUsed/>
    <w:rsid w:val="008A44EB"/>
    <w:rPr>
      <w:rFonts w:ascii="Tahoma" w:hAnsi="Tahoma" w:cs="Tahoma"/>
      <w:sz w:val="16"/>
      <w:szCs w:val="16"/>
    </w:rPr>
  </w:style>
  <w:style w:type="character" w:styleId="BalloonTextChar" w:customStyle="1">
    <w:name w:val="Balloon Text Char"/>
    <w:basedOn w:val="DefaultParagraphFont"/>
    <w:link w:val="BalloonText"/>
    <w:uiPriority w:val="99"/>
    <w:semiHidden/>
    <w:rsid w:val="008A44EB"/>
    <w:rPr>
      <w:rFonts w:ascii="Tahoma" w:hAnsi="Tahoma" w:cs="Tahoma" w:eastAsiaTheme="minorHAnsi"/>
      <w:sz w:val="16"/>
      <w:szCs w:val="16"/>
      <w:lang w:eastAsia="en-US"/>
    </w:rPr>
  </w:style>
  <w:style w:type="character" w:styleId="PlaceholderText">
    <w:name w:val="Placeholder Text"/>
    <w:basedOn w:val="DefaultParagraphFont"/>
    <w:uiPriority w:val="99"/>
    <w:semiHidden/>
    <w:rsid w:val="009C15F5"/>
    <w:rPr>
      <w:color w:val="808080"/>
    </w:rPr>
  </w:style>
  <w:style w:type="paragraph" w:styleId="ListParagraph">
    <w:name w:val="List Paragraph"/>
    <w:basedOn w:val="Normal"/>
    <w:uiPriority w:val="34"/>
    <w:qFormat/>
    <w:rsid w:val="00A9513D"/>
    <w:pPr>
      <w:ind w:left="720"/>
      <w:contextualSpacing/>
    </w:pPr>
  </w:style>
  <w:style w:type="paragraph" w:styleId="FootnoteText">
    <w:name w:val="footnote text"/>
    <w:basedOn w:val="Normal"/>
    <w:link w:val="FootnoteTextChar"/>
    <w:uiPriority w:val="99"/>
    <w:unhideWhenUsed/>
    <w:rsid w:val="0057707C"/>
    <w:rPr>
      <w:sz w:val="20"/>
      <w:szCs w:val="20"/>
    </w:rPr>
  </w:style>
  <w:style w:type="character" w:styleId="FootnoteTextChar" w:customStyle="1">
    <w:name w:val="Footnote Text Char"/>
    <w:basedOn w:val="DefaultParagraphFont"/>
    <w:link w:val="FootnoteText"/>
    <w:uiPriority w:val="99"/>
    <w:rsid w:val="0057707C"/>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57707C"/>
    <w:rPr>
      <w:vertAlign w:val="superscript"/>
    </w:rPr>
  </w:style>
  <w:style w:type="character" w:styleId="CommentReference">
    <w:name w:val="annotation reference"/>
    <w:basedOn w:val="DefaultParagraphFont"/>
    <w:uiPriority w:val="99"/>
    <w:semiHidden/>
    <w:unhideWhenUsed/>
    <w:rsid w:val="0037422E"/>
    <w:rPr>
      <w:sz w:val="16"/>
      <w:szCs w:val="16"/>
    </w:rPr>
  </w:style>
  <w:style w:type="paragraph" w:styleId="CommentText">
    <w:name w:val="annotation text"/>
    <w:basedOn w:val="Normal"/>
    <w:link w:val="CommentTextChar"/>
    <w:uiPriority w:val="99"/>
    <w:semiHidden/>
    <w:unhideWhenUsed/>
    <w:rsid w:val="0037422E"/>
    <w:rPr>
      <w:sz w:val="20"/>
      <w:szCs w:val="20"/>
    </w:rPr>
  </w:style>
  <w:style w:type="character" w:styleId="CommentTextChar" w:customStyle="1">
    <w:name w:val="Comment Text Char"/>
    <w:basedOn w:val="DefaultParagraphFont"/>
    <w:link w:val="CommentText"/>
    <w:uiPriority w:val="99"/>
    <w:semiHidden/>
    <w:rsid w:val="0037422E"/>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422E"/>
    <w:rPr>
      <w:b/>
      <w:bCs/>
    </w:rPr>
  </w:style>
  <w:style w:type="character" w:styleId="CommentSubjectChar" w:customStyle="1">
    <w:name w:val="Comment Subject Char"/>
    <w:basedOn w:val="CommentTextChar"/>
    <w:link w:val="CommentSubject"/>
    <w:uiPriority w:val="99"/>
    <w:semiHidden/>
    <w:rsid w:val="0037422E"/>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3757">
      <w:bodyDiv w:val="1"/>
      <w:marLeft w:val="0"/>
      <w:marRight w:val="0"/>
      <w:marTop w:val="0"/>
      <w:marBottom w:val="0"/>
      <w:divBdr>
        <w:top w:val="none" w:sz="0" w:space="0" w:color="auto"/>
        <w:left w:val="none" w:sz="0" w:space="0" w:color="auto"/>
        <w:bottom w:val="none" w:sz="0" w:space="0" w:color="auto"/>
        <w:right w:val="none" w:sz="0" w:space="0" w:color="auto"/>
      </w:divBdr>
    </w:div>
    <w:div w:id="583303141">
      <w:bodyDiv w:val="1"/>
      <w:marLeft w:val="0"/>
      <w:marRight w:val="0"/>
      <w:marTop w:val="0"/>
      <w:marBottom w:val="0"/>
      <w:divBdr>
        <w:top w:val="none" w:sz="0" w:space="0" w:color="auto"/>
        <w:left w:val="none" w:sz="0" w:space="0" w:color="auto"/>
        <w:bottom w:val="none" w:sz="0" w:space="0" w:color="auto"/>
        <w:right w:val="none" w:sz="0" w:space="0" w:color="auto"/>
      </w:divBdr>
    </w:div>
    <w:div w:id="1427926333">
      <w:bodyDiv w:val="1"/>
      <w:marLeft w:val="0"/>
      <w:marRight w:val="0"/>
      <w:marTop w:val="0"/>
      <w:marBottom w:val="0"/>
      <w:divBdr>
        <w:top w:val="none" w:sz="0" w:space="0" w:color="auto"/>
        <w:left w:val="none" w:sz="0" w:space="0" w:color="auto"/>
        <w:bottom w:val="none" w:sz="0" w:space="0" w:color="auto"/>
        <w:right w:val="none" w:sz="0" w:space="0" w:color="auto"/>
      </w:divBdr>
    </w:div>
    <w:div w:id="2049647249">
      <w:bodyDiv w:val="1"/>
      <w:marLeft w:val="0"/>
      <w:marRight w:val="0"/>
      <w:marTop w:val="0"/>
      <w:marBottom w:val="0"/>
      <w:divBdr>
        <w:top w:val="none" w:sz="0" w:space="0" w:color="auto"/>
        <w:left w:val="none" w:sz="0" w:space="0" w:color="auto"/>
        <w:bottom w:val="none" w:sz="0" w:space="0" w:color="auto"/>
        <w:right w:val="none" w:sz="0" w:space="0" w:color="auto"/>
      </w:divBdr>
      <w:divsChild>
        <w:div w:id="578446828">
          <w:marLeft w:val="0"/>
          <w:marRight w:val="0"/>
          <w:marTop w:val="300"/>
          <w:marBottom w:val="0"/>
          <w:divBdr>
            <w:top w:val="none" w:sz="0" w:space="0" w:color="auto"/>
            <w:left w:val="none" w:sz="0" w:space="0" w:color="auto"/>
            <w:bottom w:val="none" w:sz="0" w:space="0" w:color="auto"/>
            <w:right w:val="none" w:sz="0" w:space="0" w:color="auto"/>
          </w:divBdr>
        </w:div>
        <w:div w:id="99156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8BEBB.20A0CAC0"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2.jpg@01D8BEBB.4EF54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1900-01-01T07:00:00.0000000Z</lastPrinted>
  <dcterms:created xsi:type="dcterms:W3CDTF">1900-01-01T07:00:00.0000000Z</dcterms:created>
  <dcterms:modified xsi:type="dcterms:W3CDTF">1900-01-01T07:00:00.0000000Z</dcterms:modified>
</coreProperties>
</file>